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58461" w14:textId="613AD5AB" w:rsidR="00690AD6" w:rsidRDefault="002220C6" w:rsidP="00762B98">
      <w:pPr>
        <w:pStyle w:val="Heading1"/>
      </w:pPr>
      <w:r w:rsidRPr="002220C6">
        <w:t xml:space="preserve">Types of </w:t>
      </w:r>
      <w:r w:rsidR="00173CD7">
        <w:t>s</w:t>
      </w:r>
      <w:r w:rsidRPr="002220C6">
        <w:t>takeholders</w:t>
      </w:r>
    </w:p>
    <w:p w14:paraId="7DC7D649" w14:textId="76429246" w:rsidR="009A3D4F" w:rsidRDefault="002220C6" w:rsidP="00CE6652">
      <w:pPr>
        <w:pStyle w:val="Heading2"/>
        <w:numPr>
          <w:ilvl w:val="0"/>
          <w:numId w:val="15"/>
        </w:numPr>
      </w:pPr>
      <w:r w:rsidRPr="002220C6">
        <w:t>Investors</w:t>
      </w:r>
    </w:p>
    <w:p w14:paraId="343F1C90" w14:textId="77777777" w:rsidR="002220C6" w:rsidRPr="002220C6" w:rsidRDefault="002220C6" w:rsidP="002220C6">
      <w:pPr>
        <w:pStyle w:val="BodyText"/>
      </w:pPr>
    </w:p>
    <w:p w14:paraId="00F705E7" w14:textId="63FD8E36" w:rsidR="000C3FA2" w:rsidRDefault="002220C6" w:rsidP="002220C6">
      <w:pPr>
        <w:pStyle w:val="Heading3"/>
      </w:pPr>
      <w:r w:rsidRPr="002220C6">
        <w:t xml:space="preserve">Private </w:t>
      </w:r>
      <w:r w:rsidR="00173CD7">
        <w:t>e</w:t>
      </w:r>
      <w:r w:rsidRPr="002220C6">
        <w:t>quity</w:t>
      </w:r>
    </w:p>
    <w:tbl>
      <w:tblPr>
        <w:tblStyle w:val="TableGridLight"/>
        <w:tblW w:w="0" w:type="auto"/>
        <w:tblCellMar>
          <w:top w:w="113" w:type="dxa"/>
          <w:left w:w="113" w:type="dxa"/>
          <w:bottom w:w="113" w:type="dxa"/>
          <w:right w:w="113" w:type="dxa"/>
        </w:tblCellMar>
        <w:tblLook w:val="04A0" w:firstRow="1" w:lastRow="0" w:firstColumn="1" w:lastColumn="0" w:noHBand="0" w:noVBand="1"/>
      </w:tblPr>
      <w:tblGrid>
        <w:gridCol w:w="5665"/>
        <w:gridCol w:w="3969"/>
      </w:tblGrid>
      <w:tr w:rsidR="000C3FA2" w14:paraId="6AA52F12" w14:textId="77777777" w:rsidTr="002220C6">
        <w:tc>
          <w:tcPr>
            <w:tcW w:w="5665" w:type="dxa"/>
          </w:tcPr>
          <w:p w14:paraId="32988B71" w14:textId="37D9D218" w:rsidR="000C3FA2" w:rsidRDefault="002220C6" w:rsidP="00E0031F">
            <w:pPr>
              <w:pStyle w:val="TableHeading"/>
              <w:rPr>
                <w:noProof/>
              </w:rPr>
            </w:pPr>
            <w:r w:rsidRPr="002220C6">
              <w:rPr>
                <w:noProof/>
              </w:rPr>
              <w:t>Description/</w:t>
            </w:r>
            <w:r w:rsidR="00173CD7">
              <w:rPr>
                <w:noProof/>
              </w:rPr>
              <w:t>m</w:t>
            </w:r>
            <w:r w:rsidRPr="002220C6">
              <w:rPr>
                <w:noProof/>
              </w:rPr>
              <w:t>andate</w:t>
            </w:r>
          </w:p>
        </w:tc>
        <w:tc>
          <w:tcPr>
            <w:tcW w:w="3969" w:type="dxa"/>
          </w:tcPr>
          <w:p w14:paraId="212A30F7" w14:textId="4268F843" w:rsidR="000C3FA2" w:rsidRDefault="002220C6" w:rsidP="00E0031F">
            <w:pPr>
              <w:pStyle w:val="TableHeading"/>
              <w:rPr>
                <w:noProof/>
              </w:rPr>
            </w:pPr>
            <w:r w:rsidRPr="002220C6">
              <w:rPr>
                <w:noProof/>
              </w:rPr>
              <w:t xml:space="preserve">Considerations for involvement in </w:t>
            </w:r>
            <w:r w:rsidR="00173CD7">
              <w:rPr>
                <w:noProof/>
              </w:rPr>
              <w:t>b</w:t>
            </w:r>
            <w:r w:rsidRPr="002220C6">
              <w:rPr>
                <w:noProof/>
              </w:rPr>
              <w:t xml:space="preserve">lended </w:t>
            </w:r>
            <w:r w:rsidR="00173CD7">
              <w:rPr>
                <w:noProof/>
              </w:rPr>
              <w:t>f</w:t>
            </w:r>
            <w:r w:rsidRPr="002220C6">
              <w:rPr>
                <w:noProof/>
              </w:rPr>
              <w:t>inance</w:t>
            </w:r>
          </w:p>
        </w:tc>
      </w:tr>
      <w:tr w:rsidR="000C3FA2" w:rsidRPr="00690AD6" w14:paraId="19044CEE" w14:textId="77777777" w:rsidTr="002220C6">
        <w:tc>
          <w:tcPr>
            <w:tcW w:w="5665" w:type="dxa"/>
          </w:tcPr>
          <w:p w14:paraId="4F63ACCC" w14:textId="471F1B18" w:rsidR="002220C6" w:rsidRDefault="002220C6" w:rsidP="002220C6">
            <w:pPr>
              <w:pStyle w:val="TableText"/>
              <w:rPr>
                <w:noProof/>
              </w:rPr>
            </w:pPr>
            <w:r>
              <w:rPr>
                <w:noProof/>
              </w:rPr>
              <w:t>Private capital is a broad term for financing provided to companies that is sourced neither from the public markets, such as from the sale of tradable equities, bonds, and other securities on exchanges, nor from traditional institutional providers, such as government or banks. Private equity (PE) are investments made directly in private companies or in public companies that become private that are in various stages of development.</w:t>
            </w:r>
          </w:p>
          <w:p w14:paraId="3DE8DB5C" w14:textId="77777777" w:rsidR="002220C6" w:rsidRDefault="002220C6" w:rsidP="002220C6">
            <w:pPr>
              <w:pStyle w:val="TableText"/>
              <w:rPr>
                <w:noProof/>
              </w:rPr>
            </w:pPr>
          </w:p>
          <w:p w14:paraId="5E0BC058" w14:textId="29343CAD" w:rsidR="000C3FA2" w:rsidRPr="00690AD6" w:rsidRDefault="002220C6" w:rsidP="002220C6">
            <w:pPr>
              <w:pStyle w:val="TableText"/>
              <w:rPr>
                <w:noProof/>
              </w:rPr>
            </w:pPr>
            <w:r>
              <w:rPr>
                <w:noProof/>
              </w:rPr>
              <w:t>Private equity and venture capital (VC) firms both provide private capital. PE firms generally invest in businesses/companies that are not publicly traded, including large and established firms. VC firms are a type of private equity firm which typically target startups or other young businesses that show potential for long-term growth.</w:t>
            </w:r>
          </w:p>
        </w:tc>
        <w:tc>
          <w:tcPr>
            <w:tcW w:w="3969" w:type="dxa"/>
          </w:tcPr>
          <w:p w14:paraId="254E4C7A" w14:textId="69EDAA78" w:rsidR="002220C6" w:rsidRDefault="002220C6" w:rsidP="002220C6">
            <w:pPr>
              <w:pStyle w:val="TableText"/>
              <w:rPr>
                <w:noProof/>
              </w:rPr>
            </w:pPr>
            <w:r>
              <w:rPr>
                <w:noProof/>
              </w:rPr>
              <w:t>Both VC and PE can play a vital role in driving the development of innovative technologies VCs tend to invest in early-stage companies where risk of failure of high and technology readiness levels are low(er).</w:t>
            </w:r>
          </w:p>
          <w:p w14:paraId="47D8A7AE" w14:textId="77777777" w:rsidR="002220C6" w:rsidRDefault="002220C6" w:rsidP="002220C6">
            <w:pPr>
              <w:pStyle w:val="TableText"/>
              <w:rPr>
                <w:noProof/>
              </w:rPr>
            </w:pPr>
            <w:r>
              <w:rPr>
                <w:noProof/>
              </w:rPr>
              <w:t xml:space="preserve"> </w:t>
            </w:r>
          </w:p>
          <w:p w14:paraId="03DEE503" w14:textId="5DA5A35D" w:rsidR="000C3FA2" w:rsidRPr="00690AD6" w:rsidRDefault="002220C6" w:rsidP="002220C6">
            <w:pPr>
              <w:pStyle w:val="TableText"/>
              <w:rPr>
                <w:noProof/>
              </w:rPr>
            </w:pPr>
            <w:r>
              <w:rPr>
                <w:noProof/>
              </w:rPr>
              <w:t>In general, VC and PE investors focus on equity investments and are less risk-averse than banks or insurers, seeking higher risk and higher reward investments.</w:t>
            </w:r>
          </w:p>
        </w:tc>
      </w:tr>
    </w:tbl>
    <w:p w14:paraId="019CC3E0" w14:textId="77777777" w:rsidR="000C3FA2" w:rsidRDefault="000C3FA2" w:rsidP="000C3FA2">
      <w:pPr>
        <w:pStyle w:val="BodyText"/>
      </w:pPr>
    </w:p>
    <w:p w14:paraId="54827286" w14:textId="65F4F75B" w:rsidR="00D36494" w:rsidRDefault="00D36494" w:rsidP="00D36494">
      <w:pPr>
        <w:pStyle w:val="Heading3"/>
      </w:pPr>
      <w:r>
        <w:t>Insurance</w:t>
      </w:r>
    </w:p>
    <w:tbl>
      <w:tblPr>
        <w:tblStyle w:val="TableGridLight"/>
        <w:tblW w:w="0" w:type="auto"/>
        <w:tblCellMar>
          <w:top w:w="113" w:type="dxa"/>
          <w:left w:w="113" w:type="dxa"/>
          <w:bottom w:w="113" w:type="dxa"/>
          <w:right w:w="113" w:type="dxa"/>
        </w:tblCellMar>
        <w:tblLook w:val="04A0" w:firstRow="1" w:lastRow="0" w:firstColumn="1" w:lastColumn="0" w:noHBand="0" w:noVBand="1"/>
      </w:tblPr>
      <w:tblGrid>
        <w:gridCol w:w="5665"/>
        <w:gridCol w:w="3969"/>
      </w:tblGrid>
      <w:tr w:rsidR="00D36494" w14:paraId="6477649C" w14:textId="77777777" w:rsidTr="006E22EF">
        <w:tc>
          <w:tcPr>
            <w:tcW w:w="5665" w:type="dxa"/>
          </w:tcPr>
          <w:p w14:paraId="2B7073B8" w14:textId="058E0D91" w:rsidR="00D36494" w:rsidRDefault="00D36494" w:rsidP="006E22EF">
            <w:pPr>
              <w:pStyle w:val="TableHeading"/>
              <w:rPr>
                <w:noProof/>
              </w:rPr>
            </w:pPr>
            <w:r w:rsidRPr="002220C6">
              <w:rPr>
                <w:noProof/>
              </w:rPr>
              <w:t>Description/</w:t>
            </w:r>
            <w:r w:rsidR="00173CD7">
              <w:rPr>
                <w:noProof/>
              </w:rPr>
              <w:t>m</w:t>
            </w:r>
            <w:r w:rsidRPr="002220C6">
              <w:rPr>
                <w:noProof/>
              </w:rPr>
              <w:t>andate</w:t>
            </w:r>
          </w:p>
        </w:tc>
        <w:tc>
          <w:tcPr>
            <w:tcW w:w="3969" w:type="dxa"/>
          </w:tcPr>
          <w:p w14:paraId="1414290C" w14:textId="2C734788" w:rsidR="00D36494" w:rsidRDefault="00D36494" w:rsidP="006E22EF">
            <w:pPr>
              <w:pStyle w:val="TableHeading"/>
              <w:rPr>
                <w:noProof/>
              </w:rPr>
            </w:pPr>
            <w:r w:rsidRPr="002220C6">
              <w:rPr>
                <w:noProof/>
              </w:rPr>
              <w:t xml:space="preserve">Considerations for involvement in </w:t>
            </w:r>
            <w:r w:rsidR="00173CD7">
              <w:rPr>
                <w:noProof/>
              </w:rPr>
              <w:t>b</w:t>
            </w:r>
            <w:r w:rsidRPr="002220C6">
              <w:rPr>
                <w:noProof/>
              </w:rPr>
              <w:t xml:space="preserve">lended </w:t>
            </w:r>
            <w:r w:rsidR="00173CD7">
              <w:rPr>
                <w:noProof/>
              </w:rPr>
              <w:t>f</w:t>
            </w:r>
            <w:r w:rsidRPr="002220C6">
              <w:rPr>
                <w:noProof/>
              </w:rPr>
              <w:t>inance</w:t>
            </w:r>
          </w:p>
        </w:tc>
      </w:tr>
      <w:tr w:rsidR="00D36494" w:rsidRPr="00690AD6" w14:paraId="42F6C665" w14:textId="77777777" w:rsidTr="00D36494">
        <w:trPr>
          <w:trHeight w:val="321"/>
        </w:trPr>
        <w:tc>
          <w:tcPr>
            <w:tcW w:w="5665" w:type="dxa"/>
          </w:tcPr>
          <w:p w14:paraId="535B97CD" w14:textId="64B28F45" w:rsidR="00D36494" w:rsidRPr="00690AD6" w:rsidRDefault="00D36494" w:rsidP="00D36494">
            <w:pPr>
              <w:pStyle w:val="TableText"/>
              <w:rPr>
                <w:noProof/>
              </w:rPr>
            </w:pPr>
            <w:r w:rsidRPr="00D36494">
              <w:rPr>
                <w:noProof/>
              </w:rPr>
              <w:t>Insurance companies represent the largest category of institutional investors in the UK. They tend to be more risk-averse in order to preserve the value of premiums received, and continue to pay claims required while offsetting inflation. Insurers invest their premiums in the economy and seek investment returns.</w:t>
            </w:r>
          </w:p>
          <w:p w14:paraId="2DC6732C" w14:textId="7CEDA32A" w:rsidR="00D36494" w:rsidRPr="00690AD6" w:rsidRDefault="00D36494" w:rsidP="006E22EF">
            <w:pPr>
              <w:pStyle w:val="TableText"/>
              <w:rPr>
                <w:noProof/>
              </w:rPr>
            </w:pPr>
          </w:p>
        </w:tc>
        <w:tc>
          <w:tcPr>
            <w:tcW w:w="3969" w:type="dxa"/>
          </w:tcPr>
          <w:p w14:paraId="313D3561" w14:textId="3D495FBB" w:rsidR="00D36494" w:rsidRPr="00690AD6" w:rsidRDefault="00D36494" w:rsidP="00D36494">
            <w:pPr>
              <w:pStyle w:val="TableText"/>
              <w:rPr>
                <w:noProof/>
              </w:rPr>
            </w:pPr>
            <w:r w:rsidRPr="00D36494">
              <w:rPr>
                <w:noProof/>
              </w:rPr>
              <w:t>Life insurers generally seek to invest over the long term, both as a sound risk management strategy from the firm and owing to a financial benefit they are eligible for. Recent reforms to the prudential regime for insurance firms have widened the number of assets which UK insurance firms can obtain this financial benefit from, known as the ‘matching adjustment’.</w:t>
            </w:r>
          </w:p>
          <w:p w14:paraId="659FEA92" w14:textId="41DF8195" w:rsidR="00D36494" w:rsidRPr="00690AD6" w:rsidRDefault="00D36494" w:rsidP="006E22EF">
            <w:pPr>
              <w:pStyle w:val="TableText"/>
              <w:rPr>
                <w:noProof/>
              </w:rPr>
            </w:pPr>
          </w:p>
        </w:tc>
      </w:tr>
    </w:tbl>
    <w:p w14:paraId="11D9CA12" w14:textId="1E3D3C86" w:rsidR="00D36494" w:rsidRDefault="00D36494" w:rsidP="000C3FA2">
      <w:pPr>
        <w:pStyle w:val="BodyText"/>
      </w:pPr>
    </w:p>
    <w:p w14:paraId="2403AA2F" w14:textId="4696180D" w:rsidR="00D36494" w:rsidRDefault="00D36494" w:rsidP="00D36494">
      <w:pPr>
        <w:pStyle w:val="Heading3"/>
      </w:pPr>
      <w:r w:rsidRPr="00D36494">
        <w:lastRenderedPageBreak/>
        <w:t xml:space="preserve">Pension </w:t>
      </w:r>
      <w:r w:rsidR="00A269AE">
        <w:t>f</w:t>
      </w:r>
      <w:r w:rsidRPr="00D36494">
        <w:t>unds</w:t>
      </w:r>
    </w:p>
    <w:tbl>
      <w:tblPr>
        <w:tblStyle w:val="TableGridLight"/>
        <w:tblW w:w="0" w:type="auto"/>
        <w:tblCellMar>
          <w:top w:w="113" w:type="dxa"/>
          <w:left w:w="113" w:type="dxa"/>
          <w:bottom w:w="113" w:type="dxa"/>
          <w:right w:w="113" w:type="dxa"/>
        </w:tblCellMar>
        <w:tblLook w:val="04A0" w:firstRow="1" w:lastRow="0" w:firstColumn="1" w:lastColumn="0" w:noHBand="0" w:noVBand="1"/>
      </w:tblPr>
      <w:tblGrid>
        <w:gridCol w:w="5665"/>
        <w:gridCol w:w="3969"/>
      </w:tblGrid>
      <w:tr w:rsidR="00D36494" w14:paraId="5DEB4559" w14:textId="77777777" w:rsidTr="006E22EF">
        <w:tc>
          <w:tcPr>
            <w:tcW w:w="5665" w:type="dxa"/>
          </w:tcPr>
          <w:p w14:paraId="3BA4A0EB" w14:textId="5C82B6F8" w:rsidR="00D36494" w:rsidRDefault="00D36494" w:rsidP="006E22EF">
            <w:pPr>
              <w:pStyle w:val="TableHeading"/>
              <w:rPr>
                <w:noProof/>
              </w:rPr>
            </w:pPr>
            <w:r w:rsidRPr="002220C6">
              <w:rPr>
                <w:noProof/>
              </w:rPr>
              <w:t>Description/</w:t>
            </w:r>
            <w:r w:rsidR="00173CD7">
              <w:rPr>
                <w:noProof/>
              </w:rPr>
              <w:t>m</w:t>
            </w:r>
            <w:r w:rsidRPr="002220C6">
              <w:rPr>
                <w:noProof/>
              </w:rPr>
              <w:t>andate</w:t>
            </w:r>
          </w:p>
        </w:tc>
        <w:tc>
          <w:tcPr>
            <w:tcW w:w="3969" w:type="dxa"/>
          </w:tcPr>
          <w:p w14:paraId="35BE3B07" w14:textId="0BC2621F" w:rsidR="00D36494" w:rsidRDefault="00D36494" w:rsidP="006E22EF">
            <w:pPr>
              <w:pStyle w:val="TableHeading"/>
              <w:rPr>
                <w:noProof/>
              </w:rPr>
            </w:pPr>
            <w:r w:rsidRPr="002220C6">
              <w:rPr>
                <w:noProof/>
              </w:rPr>
              <w:t xml:space="preserve">Considerations for involvement in </w:t>
            </w:r>
            <w:r w:rsidR="00173CD7">
              <w:rPr>
                <w:noProof/>
              </w:rPr>
              <w:t>b</w:t>
            </w:r>
            <w:r w:rsidRPr="002220C6">
              <w:rPr>
                <w:noProof/>
              </w:rPr>
              <w:t xml:space="preserve">lended </w:t>
            </w:r>
            <w:r w:rsidR="00173CD7">
              <w:rPr>
                <w:noProof/>
              </w:rPr>
              <w:t>f</w:t>
            </w:r>
            <w:r w:rsidRPr="002220C6">
              <w:rPr>
                <w:noProof/>
              </w:rPr>
              <w:t>inance</w:t>
            </w:r>
          </w:p>
        </w:tc>
      </w:tr>
      <w:tr w:rsidR="00D36494" w:rsidRPr="00690AD6" w14:paraId="080E0AC2" w14:textId="77777777" w:rsidTr="006E22EF">
        <w:trPr>
          <w:trHeight w:val="321"/>
        </w:trPr>
        <w:tc>
          <w:tcPr>
            <w:tcW w:w="5665" w:type="dxa"/>
          </w:tcPr>
          <w:p w14:paraId="40E56C38" w14:textId="34301B0C" w:rsidR="00D36494" w:rsidRPr="00690AD6" w:rsidRDefault="00D36494" w:rsidP="00D36494">
            <w:pPr>
              <w:pStyle w:val="TableText"/>
              <w:rPr>
                <w:noProof/>
              </w:rPr>
            </w:pPr>
            <w:r w:rsidRPr="00D36494">
              <w:rPr>
                <w:noProof/>
              </w:rPr>
              <w:t>Pension funds are any program, fund, or scheme which provides retirement income. Pension funds typically have large amounts of money to invest and are major investors in listed and private companies. Their investments are usually managed by fund managers.</w:t>
            </w:r>
          </w:p>
        </w:tc>
        <w:tc>
          <w:tcPr>
            <w:tcW w:w="3969" w:type="dxa"/>
          </w:tcPr>
          <w:p w14:paraId="7F9B68BD" w14:textId="131EA036" w:rsidR="00D36494" w:rsidRPr="00690AD6" w:rsidRDefault="00D36494" w:rsidP="00D36494">
            <w:pPr>
              <w:pStyle w:val="TableText"/>
              <w:rPr>
                <w:noProof/>
              </w:rPr>
            </w:pPr>
            <w:r w:rsidRPr="00D36494">
              <w:rPr>
                <w:noProof/>
              </w:rPr>
              <w:t>Pension funds will likely prioritise larger and more predictable transactions/returns than for example, private equity investors, as they have the responsibility to invest people’s pensions in stable assets.</w:t>
            </w:r>
          </w:p>
        </w:tc>
      </w:tr>
    </w:tbl>
    <w:p w14:paraId="285349A6" w14:textId="77777777" w:rsidR="00D36494" w:rsidRDefault="00D36494" w:rsidP="000C3FA2">
      <w:pPr>
        <w:pStyle w:val="BodyText"/>
      </w:pPr>
    </w:p>
    <w:p w14:paraId="292F0A06" w14:textId="0B95FD24" w:rsidR="00207D94" w:rsidRDefault="00207D94" w:rsidP="00207D94">
      <w:pPr>
        <w:pStyle w:val="Heading3"/>
      </w:pPr>
      <w:r w:rsidRPr="00207D94">
        <w:t>Bank and non-bank lenders</w:t>
      </w:r>
    </w:p>
    <w:tbl>
      <w:tblPr>
        <w:tblStyle w:val="TableGridLight"/>
        <w:tblW w:w="0" w:type="auto"/>
        <w:tblCellMar>
          <w:top w:w="113" w:type="dxa"/>
          <w:left w:w="113" w:type="dxa"/>
          <w:bottom w:w="113" w:type="dxa"/>
          <w:right w:w="113" w:type="dxa"/>
        </w:tblCellMar>
        <w:tblLook w:val="04A0" w:firstRow="1" w:lastRow="0" w:firstColumn="1" w:lastColumn="0" w:noHBand="0" w:noVBand="1"/>
      </w:tblPr>
      <w:tblGrid>
        <w:gridCol w:w="5665"/>
        <w:gridCol w:w="3969"/>
      </w:tblGrid>
      <w:tr w:rsidR="00207D94" w14:paraId="57CE32BC" w14:textId="77777777" w:rsidTr="006E22EF">
        <w:tc>
          <w:tcPr>
            <w:tcW w:w="5665" w:type="dxa"/>
          </w:tcPr>
          <w:p w14:paraId="0CA0433A" w14:textId="5DAD6348" w:rsidR="00207D94" w:rsidRDefault="00207D94" w:rsidP="006E22EF">
            <w:pPr>
              <w:pStyle w:val="TableHeading"/>
              <w:rPr>
                <w:noProof/>
              </w:rPr>
            </w:pPr>
            <w:r w:rsidRPr="002220C6">
              <w:rPr>
                <w:noProof/>
              </w:rPr>
              <w:t>Description/</w:t>
            </w:r>
            <w:r w:rsidR="00173CD7">
              <w:rPr>
                <w:noProof/>
              </w:rPr>
              <w:t>m</w:t>
            </w:r>
            <w:r w:rsidRPr="002220C6">
              <w:rPr>
                <w:noProof/>
              </w:rPr>
              <w:t>andate</w:t>
            </w:r>
          </w:p>
        </w:tc>
        <w:tc>
          <w:tcPr>
            <w:tcW w:w="3969" w:type="dxa"/>
          </w:tcPr>
          <w:p w14:paraId="7B3FC0A3" w14:textId="25F12323" w:rsidR="00207D94" w:rsidRDefault="00207D94" w:rsidP="006E22EF">
            <w:pPr>
              <w:pStyle w:val="TableHeading"/>
              <w:rPr>
                <w:noProof/>
              </w:rPr>
            </w:pPr>
            <w:r w:rsidRPr="002220C6">
              <w:rPr>
                <w:noProof/>
              </w:rPr>
              <w:t xml:space="preserve">Considerations for involvement in </w:t>
            </w:r>
            <w:r w:rsidR="00173CD7">
              <w:rPr>
                <w:noProof/>
              </w:rPr>
              <w:t>b</w:t>
            </w:r>
            <w:r w:rsidRPr="002220C6">
              <w:rPr>
                <w:noProof/>
              </w:rPr>
              <w:t xml:space="preserve">lended </w:t>
            </w:r>
            <w:r w:rsidR="00173CD7">
              <w:rPr>
                <w:noProof/>
              </w:rPr>
              <w:t>f</w:t>
            </w:r>
            <w:r w:rsidRPr="002220C6">
              <w:rPr>
                <w:noProof/>
              </w:rPr>
              <w:t>inance</w:t>
            </w:r>
          </w:p>
        </w:tc>
      </w:tr>
      <w:tr w:rsidR="00207D94" w:rsidRPr="00690AD6" w14:paraId="5A97C8DE" w14:textId="77777777" w:rsidTr="006E22EF">
        <w:trPr>
          <w:trHeight w:val="321"/>
        </w:trPr>
        <w:tc>
          <w:tcPr>
            <w:tcW w:w="5665" w:type="dxa"/>
          </w:tcPr>
          <w:p w14:paraId="30B8B9CC" w14:textId="24181026" w:rsidR="00207D94" w:rsidRDefault="00207D94" w:rsidP="00207D94">
            <w:pPr>
              <w:pStyle w:val="TableText"/>
              <w:rPr>
                <w:noProof/>
              </w:rPr>
            </w:pPr>
            <w:r>
              <w:rPr>
                <w:noProof/>
              </w:rPr>
              <w:t>The core activity of banks is to accept deposits and make loans. In addition, banks can invest their capital into projects or companies.</w:t>
            </w:r>
          </w:p>
          <w:p w14:paraId="39BC9B7B" w14:textId="77777777" w:rsidR="00207D94" w:rsidRDefault="00207D94" w:rsidP="00207D94">
            <w:pPr>
              <w:pStyle w:val="TableText"/>
              <w:rPr>
                <w:noProof/>
              </w:rPr>
            </w:pPr>
          </w:p>
          <w:p w14:paraId="1C7D4A83" w14:textId="13A58565" w:rsidR="00207D94" w:rsidRPr="00690AD6" w:rsidRDefault="00207D94" w:rsidP="00207D94">
            <w:pPr>
              <w:pStyle w:val="TableText"/>
              <w:rPr>
                <w:noProof/>
              </w:rPr>
            </w:pPr>
            <w:r>
              <w:rPr>
                <w:noProof/>
              </w:rPr>
              <w:t>Non-bank lenders lend to consumers and businesses (like banks). They generally tend to focus on niches, such as SME finance.</w:t>
            </w:r>
          </w:p>
        </w:tc>
        <w:tc>
          <w:tcPr>
            <w:tcW w:w="3969" w:type="dxa"/>
          </w:tcPr>
          <w:p w14:paraId="0DA052DE" w14:textId="1EF7ED0B" w:rsidR="00207D94" w:rsidRPr="00690AD6" w:rsidRDefault="00027D75" w:rsidP="006E22EF">
            <w:pPr>
              <w:pStyle w:val="TableText"/>
              <w:rPr>
                <w:noProof/>
              </w:rPr>
            </w:pPr>
            <w:r w:rsidRPr="00027D75">
              <w:rPr>
                <w:noProof/>
              </w:rPr>
              <w:t>Commercial banks are relatively risk-averse investors that can be supported with blended finance by lowering the risk-profile of investments, they are therefore key entities to consider for lending interventions. Banks are drawn towards blended finance deals that involve infrastructure projects such as power plants, airports and ports, which yield reliable returns.</w:t>
            </w:r>
          </w:p>
        </w:tc>
      </w:tr>
    </w:tbl>
    <w:p w14:paraId="0A895FC0" w14:textId="46A39574" w:rsidR="000809C7" w:rsidRDefault="000809C7" w:rsidP="000C3FA2">
      <w:pPr>
        <w:pStyle w:val="BodyText"/>
      </w:pPr>
    </w:p>
    <w:p w14:paraId="0CA96C7E" w14:textId="77777777" w:rsidR="000809C7" w:rsidRDefault="000809C7">
      <w:pPr>
        <w:spacing w:after="160" w:line="259" w:lineRule="auto"/>
        <w:rPr>
          <w:sz w:val="24"/>
        </w:rPr>
      </w:pPr>
      <w:r>
        <w:br w:type="page"/>
      </w:r>
    </w:p>
    <w:p w14:paraId="62743BB0" w14:textId="46864C89" w:rsidR="00CE6652" w:rsidRDefault="00CE6652" w:rsidP="00CE6652">
      <w:pPr>
        <w:pStyle w:val="Heading2"/>
        <w:numPr>
          <w:ilvl w:val="0"/>
          <w:numId w:val="15"/>
        </w:numPr>
      </w:pPr>
      <w:r w:rsidRPr="00CE6652">
        <w:lastRenderedPageBreak/>
        <w:t xml:space="preserve">Private </w:t>
      </w:r>
      <w:r w:rsidR="00A269AE">
        <w:t>s</w:t>
      </w:r>
      <w:r w:rsidRPr="00CE6652">
        <w:t>ector</w:t>
      </w:r>
    </w:p>
    <w:p w14:paraId="225798E6" w14:textId="77777777" w:rsidR="000809C7" w:rsidRPr="000809C7" w:rsidRDefault="000809C7" w:rsidP="000809C7">
      <w:pPr>
        <w:pStyle w:val="BodyText"/>
      </w:pPr>
    </w:p>
    <w:p w14:paraId="02EFF572" w14:textId="727375EA" w:rsidR="00CE6652" w:rsidRDefault="00CE6652" w:rsidP="00CE6652">
      <w:pPr>
        <w:pStyle w:val="Heading3"/>
      </w:pPr>
      <w:r w:rsidRPr="00CE6652">
        <w:t>Developer</w:t>
      </w:r>
    </w:p>
    <w:tbl>
      <w:tblPr>
        <w:tblStyle w:val="TableGridLight"/>
        <w:tblW w:w="0" w:type="auto"/>
        <w:tblCellMar>
          <w:top w:w="113" w:type="dxa"/>
          <w:left w:w="113" w:type="dxa"/>
          <w:bottom w:w="113" w:type="dxa"/>
          <w:right w:w="113" w:type="dxa"/>
        </w:tblCellMar>
        <w:tblLook w:val="04A0" w:firstRow="1" w:lastRow="0" w:firstColumn="1" w:lastColumn="0" w:noHBand="0" w:noVBand="1"/>
      </w:tblPr>
      <w:tblGrid>
        <w:gridCol w:w="5665"/>
        <w:gridCol w:w="3969"/>
      </w:tblGrid>
      <w:tr w:rsidR="00CE6652" w14:paraId="6AA25FF4" w14:textId="77777777" w:rsidTr="006E22EF">
        <w:tc>
          <w:tcPr>
            <w:tcW w:w="5665" w:type="dxa"/>
          </w:tcPr>
          <w:p w14:paraId="4AA7CC96" w14:textId="0A42FC5F" w:rsidR="00CE6652" w:rsidRDefault="00CE6652" w:rsidP="006E22EF">
            <w:pPr>
              <w:pStyle w:val="TableHeading"/>
              <w:rPr>
                <w:noProof/>
              </w:rPr>
            </w:pPr>
            <w:r w:rsidRPr="002220C6">
              <w:rPr>
                <w:noProof/>
              </w:rPr>
              <w:t>Description/</w:t>
            </w:r>
            <w:r w:rsidR="00173CD7">
              <w:rPr>
                <w:noProof/>
              </w:rPr>
              <w:t>m</w:t>
            </w:r>
            <w:r w:rsidRPr="002220C6">
              <w:rPr>
                <w:noProof/>
              </w:rPr>
              <w:t>andate</w:t>
            </w:r>
          </w:p>
        </w:tc>
        <w:tc>
          <w:tcPr>
            <w:tcW w:w="3969" w:type="dxa"/>
          </w:tcPr>
          <w:p w14:paraId="22607CD9" w14:textId="110C2A59" w:rsidR="00CE6652" w:rsidRDefault="00CE6652" w:rsidP="006E22EF">
            <w:pPr>
              <w:pStyle w:val="TableHeading"/>
              <w:rPr>
                <w:noProof/>
              </w:rPr>
            </w:pPr>
            <w:r w:rsidRPr="002220C6">
              <w:rPr>
                <w:noProof/>
              </w:rPr>
              <w:t xml:space="preserve">Considerations for involvement in </w:t>
            </w:r>
            <w:r w:rsidR="00173CD7">
              <w:rPr>
                <w:noProof/>
              </w:rPr>
              <w:t>b</w:t>
            </w:r>
            <w:r w:rsidRPr="002220C6">
              <w:rPr>
                <w:noProof/>
              </w:rPr>
              <w:t xml:space="preserve">lended </w:t>
            </w:r>
            <w:r w:rsidR="00173CD7">
              <w:rPr>
                <w:noProof/>
              </w:rPr>
              <w:t>f</w:t>
            </w:r>
            <w:r w:rsidRPr="002220C6">
              <w:rPr>
                <w:noProof/>
              </w:rPr>
              <w:t>inance</w:t>
            </w:r>
          </w:p>
        </w:tc>
      </w:tr>
      <w:tr w:rsidR="00CE6652" w:rsidRPr="00690AD6" w14:paraId="74647A8C" w14:textId="77777777" w:rsidTr="006E22EF">
        <w:trPr>
          <w:trHeight w:val="321"/>
        </w:trPr>
        <w:tc>
          <w:tcPr>
            <w:tcW w:w="5665" w:type="dxa"/>
          </w:tcPr>
          <w:p w14:paraId="6A8742C7" w14:textId="08AB9D2F" w:rsidR="00E06CFD" w:rsidRDefault="00E06CFD" w:rsidP="00E06CFD">
            <w:pPr>
              <w:pStyle w:val="TableText"/>
              <w:rPr>
                <w:noProof/>
              </w:rPr>
            </w:pPr>
            <w:r>
              <w:rPr>
                <w:noProof/>
              </w:rPr>
              <w:t>In a blended finance transaction, a developer plays a crucial role in structuring, implementing, and managing projects that combine public and private funding. Their responsibilities typically include:</w:t>
            </w:r>
          </w:p>
          <w:p w14:paraId="6219CAFF" w14:textId="77777777" w:rsidR="00E06CFD" w:rsidRDefault="00E06CFD" w:rsidP="00E06CFD">
            <w:pPr>
              <w:pStyle w:val="TableText"/>
              <w:rPr>
                <w:noProof/>
              </w:rPr>
            </w:pPr>
          </w:p>
          <w:p w14:paraId="128D7866" w14:textId="1BDC9C97" w:rsidR="00E06CFD" w:rsidRDefault="00E06CFD" w:rsidP="00E06CFD">
            <w:pPr>
              <w:pStyle w:val="ListBullet2"/>
              <w:rPr>
                <w:noProof/>
              </w:rPr>
            </w:pPr>
            <w:r>
              <w:rPr>
                <w:noProof/>
              </w:rPr>
              <w:t xml:space="preserve">Project </w:t>
            </w:r>
            <w:r w:rsidR="00A269AE">
              <w:rPr>
                <w:noProof/>
              </w:rPr>
              <w:t>d</w:t>
            </w:r>
            <w:r>
              <w:rPr>
                <w:noProof/>
              </w:rPr>
              <w:t xml:space="preserve">esign &amp; </w:t>
            </w:r>
            <w:r w:rsidR="00A269AE">
              <w:rPr>
                <w:noProof/>
              </w:rPr>
              <w:t>f</w:t>
            </w:r>
            <w:r>
              <w:rPr>
                <w:noProof/>
              </w:rPr>
              <w:t xml:space="preserve">easibility </w:t>
            </w:r>
          </w:p>
          <w:p w14:paraId="585099C6" w14:textId="31A0A06F" w:rsidR="00E06CFD" w:rsidRDefault="00E06CFD" w:rsidP="00E06CFD">
            <w:pPr>
              <w:pStyle w:val="ListBullet2"/>
              <w:rPr>
                <w:noProof/>
              </w:rPr>
            </w:pPr>
            <w:r>
              <w:rPr>
                <w:noProof/>
              </w:rPr>
              <w:t xml:space="preserve">Securing </w:t>
            </w:r>
            <w:r w:rsidR="00A269AE">
              <w:rPr>
                <w:noProof/>
              </w:rPr>
              <w:t>f</w:t>
            </w:r>
            <w:r>
              <w:rPr>
                <w:noProof/>
              </w:rPr>
              <w:t xml:space="preserve">unding – </w:t>
            </w:r>
            <w:r w:rsidR="00A269AE">
              <w:rPr>
                <w:noProof/>
              </w:rPr>
              <w:t>w</w:t>
            </w:r>
            <w:r>
              <w:rPr>
                <w:noProof/>
              </w:rPr>
              <w:t>orking with government agencies, investors, and financial institutions</w:t>
            </w:r>
          </w:p>
          <w:p w14:paraId="27282E07" w14:textId="26BE5E15" w:rsidR="00E06CFD" w:rsidRDefault="00E06CFD" w:rsidP="00E06CFD">
            <w:pPr>
              <w:pStyle w:val="ListBullet2"/>
              <w:rPr>
                <w:noProof/>
              </w:rPr>
            </w:pPr>
            <w:r>
              <w:rPr>
                <w:noProof/>
              </w:rPr>
              <w:t xml:space="preserve">Risk </w:t>
            </w:r>
            <w:r w:rsidR="00A269AE">
              <w:rPr>
                <w:noProof/>
              </w:rPr>
              <w:t>m</w:t>
            </w:r>
            <w:r>
              <w:rPr>
                <w:noProof/>
              </w:rPr>
              <w:t xml:space="preserve">anagement – </w:t>
            </w:r>
            <w:r w:rsidR="00A269AE">
              <w:rPr>
                <w:noProof/>
              </w:rPr>
              <w:t>a</w:t>
            </w:r>
            <w:r>
              <w:rPr>
                <w:noProof/>
              </w:rPr>
              <w:t xml:space="preserve">ddressing financial, operational, and regulatory risks </w:t>
            </w:r>
          </w:p>
          <w:p w14:paraId="4B7A8800" w14:textId="681684BB" w:rsidR="00E06CFD" w:rsidRDefault="00E06CFD" w:rsidP="00E06CFD">
            <w:pPr>
              <w:pStyle w:val="ListBullet2"/>
              <w:rPr>
                <w:noProof/>
              </w:rPr>
            </w:pPr>
            <w:r>
              <w:rPr>
                <w:noProof/>
              </w:rPr>
              <w:t xml:space="preserve">Implementation &amp; </w:t>
            </w:r>
            <w:r w:rsidR="00A269AE">
              <w:rPr>
                <w:noProof/>
              </w:rPr>
              <w:t>d</w:t>
            </w:r>
            <w:r>
              <w:rPr>
                <w:noProof/>
              </w:rPr>
              <w:t>elivery</w:t>
            </w:r>
          </w:p>
          <w:p w14:paraId="72D2E41C" w14:textId="01BE0363" w:rsidR="00CE6652" w:rsidRPr="00690AD6" w:rsidRDefault="00E06CFD" w:rsidP="000809C7">
            <w:pPr>
              <w:pStyle w:val="TableText"/>
              <w:rPr>
                <w:noProof/>
              </w:rPr>
            </w:pPr>
            <w:r w:rsidRPr="00E06CFD">
              <w:rPr>
                <w:noProof/>
              </w:rPr>
              <w:t>Developers are essential in mobilising private capital, ensuring that projects meet government objectives while remaining commercially attractive.</w:t>
            </w:r>
          </w:p>
        </w:tc>
        <w:tc>
          <w:tcPr>
            <w:tcW w:w="3969" w:type="dxa"/>
          </w:tcPr>
          <w:p w14:paraId="1F860B19" w14:textId="6882ECA9" w:rsidR="00CE6652" w:rsidRPr="00690AD6" w:rsidRDefault="000809C7" w:rsidP="006E22EF">
            <w:pPr>
              <w:pStyle w:val="TableText"/>
              <w:rPr>
                <w:noProof/>
              </w:rPr>
            </w:pPr>
            <w:r w:rsidRPr="000809C7">
              <w:rPr>
                <w:noProof/>
              </w:rPr>
              <w:t>This stakeholder is extremely important, policy teams may already hold a relationship with the developer prior to the origination of the transaction. If a blended fund, then the developer may approach you. Either way it is important to establish a strong and trusted working relationship early on with clear channels of communication. Your delivery partner will help you to balance the market failure and needs of the developer alongside value for money and fiscal sustainability of the transaction for the taxpayer.</w:t>
            </w:r>
          </w:p>
        </w:tc>
      </w:tr>
    </w:tbl>
    <w:p w14:paraId="5AEE7533" w14:textId="43F575FB" w:rsidR="000809C7" w:rsidRDefault="000809C7" w:rsidP="000809C7">
      <w:pPr>
        <w:pStyle w:val="Heading3"/>
      </w:pPr>
      <w:r>
        <w:t>Industry</w:t>
      </w:r>
    </w:p>
    <w:tbl>
      <w:tblPr>
        <w:tblStyle w:val="TableGridLight"/>
        <w:tblW w:w="0" w:type="auto"/>
        <w:tblCellMar>
          <w:top w:w="113" w:type="dxa"/>
          <w:left w:w="113" w:type="dxa"/>
          <w:bottom w:w="113" w:type="dxa"/>
          <w:right w:w="113" w:type="dxa"/>
        </w:tblCellMar>
        <w:tblLook w:val="04A0" w:firstRow="1" w:lastRow="0" w:firstColumn="1" w:lastColumn="0" w:noHBand="0" w:noVBand="1"/>
      </w:tblPr>
      <w:tblGrid>
        <w:gridCol w:w="5665"/>
        <w:gridCol w:w="3969"/>
      </w:tblGrid>
      <w:tr w:rsidR="000809C7" w14:paraId="23FE7724" w14:textId="77777777" w:rsidTr="006E22EF">
        <w:tc>
          <w:tcPr>
            <w:tcW w:w="5665" w:type="dxa"/>
          </w:tcPr>
          <w:p w14:paraId="09130956" w14:textId="05AE288E" w:rsidR="000809C7" w:rsidRDefault="000809C7" w:rsidP="006E22EF">
            <w:pPr>
              <w:pStyle w:val="TableHeading"/>
              <w:rPr>
                <w:noProof/>
              </w:rPr>
            </w:pPr>
            <w:r w:rsidRPr="002220C6">
              <w:rPr>
                <w:noProof/>
              </w:rPr>
              <w:t>Description/</w:t>
            </w:r>
            <w:r w:rsidR="00173CD7">
              <w:rPr>
                <w:noProof/>
              </w:rPr>
              <w:t>m</w:t>
            </w:r>
            <w:r w:rsidRPr="002220C6">
              <w:rPr>
                <w:noProof/>
              </w:rPr>
              <w:t>andate</w:t>
            </w:r>
          </w:p>
        </w:tc>
        <w:tc>
          <w:tcPr>
            <w:tcW w:w="3969" w:type="dxa"/>
          </w:tcPr>
          <w:p w14:paraId="3A59D99F" w14:textId="4CD21301" w:rsidR="000809C7" w:rsidRDefault="000809C7" w:rsidP="006E22EF">
            <w:pPr>
              <w:pStyle w:val="TableHeading"/>
              <w:rPr>
                <w:noProof/>
              </w:rPr>
            </w:pPr>
            <w:r w:rsidRPr="002220C6">
              <w:rPr>
                <w:noProof/>
              </w:rPr>
              <w:t xml:space="preserve">Considerations for involvement in </w:t>
            </w:r>
            <w:r w:rsidR="00173CD7">
              <w:rPr>
                <w:noProof/>
              </w:rPr>
              <w:t>b</w:t>
            </w:r>
            <w:r w:rsidRPr="002220C6">
              <w:rPr>
                <w:noProof/>
              </w:rPr>
              <w:t xml:space="preserve">lended </w:t>
            </w:r>
            <w:r w:rsidR="00173CD7">
              <w:rPr>
                <w:noProof/>
              </w:rPr>
              <w:t>f</w:t>
            </w:r>
            <w:r w:rsidRPr="002220C6">
              <w:rPr>
                <w:noProof/>
              </w:rPr>
              <w:t>inance</w:t>
            </w:r>
          </w:p>
        </w:tc>
      </w:tr>
      <w:tr w:rsidR="000809C7" w:rsidRPr="00690AD6" w14:paraId="4AB33514" w14:textId="77777777" w:rsidTr="006E22EF">
        <w:trPr>
          <w:trHeight w:val="321"/>
        </w:trPr>
        <w:tc>
          <w:tcPr>
            <w:tcW w:w="5665" w:type="dxa"/>
          </w:tcPr>
          <w:p w14:paraId="72C010CD" w14:textId="098C73EF" w:rsidR="000809C7" w:rsidRPr="00690AD6" w:rsidRDefault="000809C7" w:rsidP="000809C7">
            <w:pPr>
              <w:pStyle w:val="TableText"/>
              <w:rPr>
                <w:noProof/>
              </w:rPr>
            </w:pPr>
            <w:r w:rsidRPr="000809C7">
              <w:rPr>
                <w:noProof/>
              </w:rPr>
              <w:t>Private sector stakeholders who contribute expertise, investment, or delivery capacity to support public policy goals.</w:t>
            </w:r>
          </w:p>
        </w:tc>
        <w:tc>
          <w:tcPr>
            <w:tcW w:w="3969" w:type="dxa"/>
          </w:tcPr>
          <w:p w14:paraId="4D518048" w14:textId="472D3D26" w:rsidR="000809C7" w:rsidRPr="00690AD6" w:rsidRDefault="000809C7" w:rsidP="006E22EF">
            <w:pPr>
              <w:pStyle w:val="TableText"/>
              <w:rPr>
                <w:noProof/>
              </w:rPr>
            </w:pPr>
            <w:r w:rsidRPr="000809C7">
              <w:rPr>
                <w:noProof/>
              </w:rPr>
              <w:t>Government should consult industry early in the design phase of a financial transaction to assess market appetite, risks, and deliverability. Early engagement ensures transactions are commercially viable, align with private sector norms, and comply with the Financial Transaction Control Framework.</w:t>
            </w:r>
          </w:p>
        </w:tc>
      </w:tr>
    </w:tbl>
    <w:p w14:paraId="11C16550" w14:textId="77B5FE79" w:rsidR="000809C7" w:rsidRDefault="000809C7" w:rsidP="000C3FA2">
      <w:pPr>
        <w:pStyle w:val="BodyText"/>
      </w:pPr>
    </w:p>
    <w:p w14:paraId="1BF05A00" w14:textId="77777777" w:rsidR="000809C7" w:rsidRDefault="000809C7">
      <w:pPr>
        <w:spacing w:after="160" w:line="259" w:lineRule="auto"/>
        <w:rPr>
          <w:sz w:val="24"/>
        </w:rPr>
      </w:pPr>
      <w:r>
        <w:br w:type="page"/>
      </w:r>
    </w:p>
    <w:p w14:paraId="3C6C708E" w14:textId="15ADC0E3" w:rsidR="000809C7" w:rsidRDefault="000809C7" w:rsidP="000809C7">
      <w:pPr>
        <w:pStyle w:val="Heading3"/>
      </w:pPr>
      <w:r w:rsidRPr="000809C7">
        <w:lastRenderedPageBreak/>
        <w:t xml:space="preserve">Financial </w:t>
      </w:r>
      <w:r w:rsidR="00580400">
        <w:t>s</w:t>
      </w:r>
      <w:r w:rsidRPr="000809C7">
        <w:t xml:space="preserve">ervices </w:t>
      </w:r>
      <w:r w:rsidR="00580400">
        <w:t>f</w:t>
      </w:r>
      <w:r w:rsidRPr="000809C7">
        <w:t>irm</w:t>
      </w:r>
    </w:p>
    <w:tbl>
      <w:tblPr>
        <w:tblStyle w:val="TableGridLight"/>
        <w:tblW w:w="0" w:type="auto"/>
        <w:tblCellMar>
          <w:top w:w="113" w:type="dxa"/>
          <w:left w:w="113" w:type="dxa"/>
          <w:bottom w:w="113" w:type="dxa"/>
          <w:right w:w="113" w:type="dxa"/>
        </w:tblCellMar>
        <w:tblLook w:val="04A0" w:firstRow="1" w:lastRow="0" w:firstColumn="1" w:lastColumn="0" w:noHBand="0" w:noVBand="1"/>
      </w:tblPr>
      <w:tblGrid>
        <w:gridCol w:w="5665"/>
        <w:gridCol w:w="3969"/>
      </w:tblGrid>
      <w:tr w:rsidR="000809C7" w14:paraId="13408BB6" w14:textId="77777777" w:rsidTr="006E22EF">
        <w:tc>
          <w:tcPr>
            <w:tcW w:w="5665" w:type="dxa"/>
          </w:tcPr>
          <w:p w14:paraId="2726D76C" w14:textId="73FED977" w:rsidR="000809C7" w:rsidRDefault="000809C7" w:rsidP="006E22EF">
            <w:pPr>
              <w:pStyle w:val="TableHeading"/>
              <w:rPr>
                <w:noProof/>
              </w:rPr>
            </w:pPr>
            <w:r w:rsidRPr="002220C6">
              <w:rPr>
                <w:noProof/>
              </w:rPr>
              <w:t>Description/</w:t>
            </w:r>
            <w:r w:rsidR="00173CD7">
              <w:rPr>
                <w:noProof/>
              </w:rPr>
              <w:t>m</w:t>
            </w:r>
            <w:r w:rsidRPr="002220C6">
              <w:rPr>
                <w:noProof/>
              </w:rPr>
              <w:t>andate</w:t>
            </w:r>
          </w:p>
        </w:tc>
        <w:tc>
          <w:tcPr>
            <w:tcW w:w="3969" w:type="dxa"/>
          </w:tcPr>
          <w:p w14:paraId="182309ED" w14:textId="0AEE80BB" w:rsidR="000809C7" w:rsidRDefault="000809C7" w:rsidP="006E22EF">
            <w:pPr>
              <w:pStyle w:val="TableHeading"/>
              <w:rPr>
                <w:noProof/>
              </w:rPr>
            </w:pPr>
            <w:r w:rsidRPr="002220C6">
              <w:rPr>
                <w:noProof/>
              </w:rPr>
              <w:t xml:space="preserve">Considerations for involvement in </w:t>
            </w:r>
            <w:r w:rsidR="00173CD7">
              <w:rPr>
                <w:noProof/>
              </w:rPr>
              <w:t>b</w:t>
            </w:r>
            <w:r w:rsidRPr="002220C6">
              <w:rPr>
                <w:noProof/>
              </w:rPr>
              <w:t xml:space="preserve">lended </w:t>
            </w:r>
            <w:r w:rsidR="00173CD7">
              <w:rPr>
                <w:noProof/>
              </w:rPr>
              <w:t>f</w:t>
            </w:r>
            <w:r w:rsidRPr="002220C6">
              <w:rPr>
                <w:noProof/>
              </w:rPr>
              <w:t>inance</w:t>
            </w:r>
          </w:p>
        </w:tc>
      </w:tr>
      <w:tr w:rsidR="000809C7" w:rsidRPr="00690AD6" w14:paraId="4322CB6E" w14:textId="77777777" w:rsidTr="006E22EF">
        <w:trPr>
          <w:trHeight w:val="321"/>
        </w:trPr>
        <w:tc>
          <w:tcPr>
            <w:tcW w:w="5665" w:type="dxa"/>
          </w:tcPr>
          <w:p w14:paraId="462C6CC4" w14:textId="3E2E9458" w:rsidR="000809C7" w:rsidRDefault="000809C7" w:rsidP="000809C7">
            <w:pPr>
              <w:pStyle w:val="TableText"/>
              <w:rPr>
                <w:noProof/>
              </w:rPr>
            </w:pPr>
            <w:r>
              <w:rPr>
                <w:noProof/>
              </w:rPr>
              <w:t>In some cases may provide support such as modelling and subsidy control assessments or may only be required to run the fund if the team responsible is not delivering through a partner PuFin.</w:t>
            </w:r>
          </w:p>
          <w:p w14:paraId="31557485" w14:textId="77777777" w:rsidR="000809C7" w:rsidRDefault="000809C7" w:rsidP="000809C7">
            <w:pPr>
              <w:pStyle w:val="TableText"/>
              <w:rPr>
                <w:noProof/>
              </w:rPr>
            </w:pPr>
          </w:p>
          <w:p w14:paraId="2E3C8AF4" w14:textId="3663F094" w:rsidR="000809C7" w:rsidRPr="00690AD6" w:rsidRDefault="000809C7" w:rsidP="000809C7">
            <w:pPr>
              <w:pStyle w:val="TableText"/>
              <w:rPr>
                <w:noProof/>
              </w:rPr>
            </w:pPr>
            <w:r>
              <w:rPr>
                <w:noProof/>
              </w:rPr>
              <w:t>Lawyers, accountants and surveyors could be within this organisation.</w:t>
            </w:r>
          </w:p>
        </w:tc>
        <w:tc>
          <w:tcPr>
            <w:tcW w:w="3969" w:type="dxa"/>
          </w:tcPr>
          <w:p w14:paraId="63AB7134" w14:textId="572E65C3" w:rsidR="000809C7" w:rsidRPr="00690AD6" w:rsidRDefault="000809C7" w:rsidP="006E22EF">
            <w:pPr>
              <w:pStyle w:val="TableText"/>
              <w:rPr>
                <w:noProof/>
              </w:rPr>
            </w:pPr>
            <w:r w:rsidRPr="000809C7">
              <w:rPr>
                <w:noProof/>
              </w:rPr>
              <w:t>More information on when it is suitable to consult with an external organization to deliver an FT will be in the next section of this course under ‘delivery models’</w:t>
            </w:r>
            <w:r>
              <w:rPr>
                <w:noProof/>
              </w:rPr>
              <w:t>.</w:t>
            </w:r>
          </w:p>
        </w:tc>
      </w:tr>
    </w:tbl>
    <w:p w14:paraId="37651892" w14:textId="77777777" w:rsidR="000809C7" w:rsidRDefault="000809C7" w:rsidP="000C3FA2">
      <w:pPr>
        <w:pStyle w:val="BodyText"/>
      </w:pPr>
    </w:p>
    <w:p w14:paraId="7EBCD0F0" w14:textId="31258007" w:rsidR="000809C7" w:rsidRDefault="000809C7" w:rsidP="000809C7">
      <w:pPr>
        <w:pStyle w:val="Heading2"/>
        <w:numPr>
          <w:ilvl w:val="0"/>
          <w:numId w:val="15"/>
        </w:numPr>
      </w:pPr>
      <w:r w:rsidRPr="000809C7">
        <w:t xml:space="preserve">Internal </w:t>
      </w:r>
      <w:r w:rsidR="00173CD7">
        <w:t>s</w:t>
      </w:r>
      <w:r w:rsidRPr="000809C7">
        <w:t>takeholders</w:t>
      </w:r>
    </w:p>
    <w:p w14:paraId="6D05488A" w14:textId="77777777" w:rsidR="000809C7" w:rsidRDefault="000809C7" w:rsidP="000C3FA2">
      <w:pPr>
        <w:pStyle w:val="BodyText"/>
      </w:pPr>
    </w:p>
    <w:p w14:paraId="0475359E" w14:textId="29DC48BC" w:rsidR="00465441" w:rsidRDefault="00465441" w:rsidP="00465441">
      <w:pPr>
        <w:pStyle w:val="Heading3"/>
      </w:pPr>
      <w:r w:rsidRPr="00465441">
        <w:t>Grants and lending teams in department and Cabinet Office</w:t>
      </w:r>
    </w:p>
    <w:tbl>
      <w:tblPr>
        <w:tblStyle w:val="TableGridLight"/>
        <w:tblW w:w="0" w:type="auto"/>
        <w:tblCellMar>
          <w:top w:w="113" w:type="dxa"/>
          <w:left w:w="113" w:type="dxa"/>
          <w:bottom w:w="113" w:type="dxa"/>
          <w:right w:w="113" w:type="dxa"/>
        </w:tblCellMar>
        <w:tblLook w:val="04A0" w:firstRow="1" w:lastRow="0" w:firstColumn="1" w:lastColumn="0" w:noHBand="0" w:noVBand="1"/>
      </w:tblPr>
      <w:tblGrid>
        <w:gridCol w:w="5665"/>
        <w:gridCol w:w="3969"/>
      </w:tblGrid>
      <w:tr w:rsidR="00465441" w14:paraId="7C58AD41" w14:textId="77777777" w:rsidTr="006E22EF">
        <w:tc>
          <w:tcPr>
            <w:tcW w:w="5665" w:type="dxa"/>
          </w:tcPr>
          <w:p w14:paraId="1F96B2A9" w14:textId="45C78911" w:rsidR="00465441" w:rsidRDefault="00465441" w:rsidP="006E22EF">
            <w:pPr>
              <w:pStyle w:val="TableHeading"/>
              <w:rPr>
                <w:noProof/>
              </w:rPr>
            </w:pPr>
            <w:r w:rsidRPr="002220C6">
              <w:rPr>
                <w:noProof/>
              </w:rPr>
              <w:t>Description/</w:t>
            </w:r>
            <w:r w:rsidR="00173CD7">
              <w:rPr>
                <w:noProof/>
              </w:rPr>
              <w:t>m</w:t>
            </w:r>
            <w:r w:rsidRPr="002220C6">
              <w:rPr>
                <w:noProof/>
              </w:rPr>
              <w:t>andate</w:t>
            </w:r>
          </w:p>
        </w:tc>
        <w:tc>
          <w:tcPr>
            <w:tcW w:w="3969" w:type="dxa"/>
          </w:tcPr>
          <w:p w14:paraId="7350C313" w14:textId="6EDC413D" w:rsidR="00465441" w:rsidRDefault="00465441" w:rsidP="006E22EF">
            <w:pPr>
              <w:pStyle w:val="TableHeading"/>
              <w:rPr>
                <w:noProof/>
              </w:rPr>
            </w:pPr>
            <w:r w:rsidRPr="002220C6">
              <w:rPr>
                <w:noProof/>
              </w:rPr>
              <w:t xml:space="preserve">Considerations for involvement in </w:t>
            </w:r>
            <w:r w:rsidR="00173CD7">
              <w:rPr>
                <w:noProof/>
              </w:rPr>
              <w:t>b</w:t>
            </w:r>
            <w:r w:rsidRPr="002220C6">
              <w:rPr>
                <w:noProof/>
              </w:rPr>
              <w:t xml:space="preserve">lended </w:t>
            </w:r>
            <w:r w:rsidR="00173CD7">
              <w:rPr>
                <w:noProof/>
              </w:rPr>
              <w:t>f</w:t>
            </w:r>
            <w:r w:rsidRPr="002220C6">
              <w:rPr>
                <w:noProof/>
              </w:rPr>
              <w:t>inance</w:t>
            </w:r>
          </w:p>
        </w:tc>
      </w:tr>
      <w:tr w:rsidR="00465441" w:rsidRPr="00690AD6" w14:paraId="632D54E3" w14:textId="77777777" w:rsidTr="006E22EF">
        <w:trPr>
          <w:trHeight w:val="321"/>
        </w:trPr>
        <w:tc>
          <w:tcPr>
            <w:tcW w:w="5665" w:type="dxa"/>
          </w:tcPr>
          <w:p w14:paraId="68B42642" w14:textId="64AF54A6" w:rsidR="00465441" w:rsidRPr="00690AD6" w:rsidRDefault="00465441" w:rsidP="00465441">
            <w:pPr>
              <w:pStyle w:val="TableText"/>
              <w:rPr>
                <w:noProof/>
              </w:rPr>
            </w:pPr>
            <w:r w:rsidRPr="00465441">
              <w:rPr>
                <w:noProof/>
              </w:rPr>
              <w:t>The Grants and Lending team advises departments on designing and delivering grants, loans, and blended finance schemes. They ensure interventions are effective, value for money, and compliant with fiscal rules. The team supports implementation, monitors delivery, and coordinates with Treasury, UKGI, and PuFIns on complex financial transactions.</w:t>
            </w:r>
          </w:p>
        </w:tc>
        <w:tc>
          <w:tcPr>
            <w:tcW w:w="3969" w:type="dxa"/>
          </w:tcPr>
          <w:p w14:paraId="622C93C2" w14:textId="096D36DB" w:rsidR="00465441" w:rsidRPr="00690AD6" w:rsidRDefault="00465441" w:rsidP="006E22EF">
            <w:pPr>
              <w:pStyle w:val="TableText"/>
              <w:rPr>
                <w:noProof/>
              </w:rPr>
            </w:pPr>
            <w:r w:rsidRPr="00465441">
              <w:rPr>
                <w:noProof/>
              </w:rPr>
              <w:t>You will need to ensure that you consult with the grants and lending team in your department first during the scoping stage and then in the Cabinet Office</w:t>
            </w:r>
            <w:r w:rsidR="003D1771">
              <w:rPr>
                <w:noProof/>
              </w:rPr>
              <w:t>.</w:t>
            </w:r>
          </w:p>
        </w:tc>
      </w:tr>
    </w:tbl>
    <w:p w14:paraId="5D1E7961" w14:textId="77777777" w:rsidR="00465441" w:rsidRDefault="00465441" w:rsidP="00465441">
      <w:pPr>
        <w:pStyle w:val="BodyText"/>
      </w:pPr>
    </w:p>
    <w:p w14:paraId="3A6B669C" w14:textId="4C2EA7E5" w:rsidR="00785DDE" w:rsidRDefault="003D1771" w:rsidP="00785DDE">
      <w:pPr>
        <w:pStyle w:val="Heading3"/>
      </w:pPr>
      <w:r w:rsidRPr="003D1771">
        <w:t xml:space="preserve">UK Government Investments/Blended </w:t>
      </w:r>
      <w:r w:rsidR="006B142A">
        <w:t>f</w:t>
      </w:r>
      <w:r w:rsidRPr="003D1771">
        <w:t xml:space="preserve">inance </w:t>
      </w:r>
      <w:r w:rsidR="00173CD7">
        <w:t>e</w:t>
      </w:r>
      <w:r w:rsidRPr="003D1771">
        <w:t xml:space="preserve">xperts in </w:t>
      </w:r>
      <w:r w:rsidR="00173CD7">
        <w:t>g</w:t>
      </w:r>
      <w:r w:rsidRPr="003D1771">
        <w:t>overnment</w:t>
      </w:r>
    </w:p>
    <w:tbl>
      <w:tblPr>
        <w:tblStyle w:val="TableGridLight"/>
        <w:tblW w:w="0" w:type="auto"/>
        <w:tblCellMar>
          <w:top w:w="113" w:type="dxa"/>
          <w:left w:w="113" w:type="dxa"/>
          <w:bottom w:w="113" w:type="dxa"/>
          <w:right w:w="113" w:type="dxa"/>
        </w:tblCellMar>
        <w:tblLook w:val="04A0" w:firstRow="1" w:lastRow="0" w:firstColumn="1" w:lastColumn="0" w:noHBand="0" w:noVBand="1"/>
      </w:tblPr>
      <w:tblGrid>
        <w:gridCol w:w="5665"/>
        <w:gridCol w:w="3969"/>
      </w:tblGrid>
      <w:tr w:rsidR="00785DDE" w14:paraId="25DB2CFC" w14:textId="77777777" w:rsidTr="006E22EF">
        <w:tc>
          <w:tcPr>
            <w:tcW w:w="5665" w:type="dxa"/>
          </w:tcPr>
          <w:p w14:paraId="454C3268" w14:textId="59A39E5E" w:rsidR="00785DDE" w:rsidRDefault="00785DDE" w:rsidP="006E22EF">
            <w:pPr>
              <w:pStyle w:val="TableHeading"/>
              <w:rPr>
                <w:noProof/>
              </w:rPr>
            </w:pPr>
            <w:r w:rsidRPr="002220C6">
              <w:rPr>
                <w:noProof/>
              </w:rPr>
              <w:t>Description/</w:t>
            </w:r>
            <w:r w:rsidR="006B142A">
              <w:rPr>
                <w:noProof/>
              </w:rPr>
              <w:t>m</w:t>
            </w:r>
            <w:r w:rsidRPr="002220C6">
              <w:rPr>
                <w:noProof/>
              </w:rPr>
              <w:t>andate</w:t>
            </w:r>
          </w:p>
        </w:tc>
        <w:tc>
          <w:tcPr>
            <w:tcW w:w="3969" w:type="dxa"/>
          </w:tcPr>
          <w:p w14:paraId="1736A16A" w14:textId="3E282838" w:rsidR="00785DDE" w:rsidRDefault="00785DDE" w:rsidP="006E22EF">
            <w:pPr>
              <w:pStyle w:val="TableHeading"/>
              <w:rPr>
                <w:noProof/>
              </w:rPr>
            </w:pPr>
            <w:r w:rsidRPr="002220C6">
              <w:rPr>
                <w:noProof/>
              </w:rPr>
              <w:t xml:space="preserve">Considerations for involvement in </w:t>
            </w:r>
            <w:r w:rsidR="006B142A">
              <w:rPr>
                <w:noProof/>
              </w:rPr>
              <w:t>b</w:t>
            </w:r>
            <w:r w:rsidRPr="002220C6">
              <w:rPr>
                <w:noProof/>
              </w:rPr>
              <w:t xml:space="preserve">lended </w:t>
            </w:r>
            <w:r w:rsidR="006B142A">
              <w:rPr>
                <w:noProof/>
              </w:rPr>
              <w:t>f</w:t>
            </w:r>
            <w:r w:rsidRPr="002220C6">
              <w:rPr>
                <w:noProof/>
              </w:rPr>
              <w:t>inance</w:t>
            </w:r>
          </w:p>
        </w:tc>
      </w:tr>
      <w:tr w:rsidR="00785DDE" w:rsidRPr="00690AD6" w14:paraId="286E30E2" w14:textId="77777777" w:rsidTr="006E22EF">
        <w:trPr>
          <w:trHeight w:val="321"/>
        </w:trPr>
        <w:tc>
          <w:tcPr>
            <w:tcW w:w="5665" w:type="dxa"/>
          </w:tcPr>
          <w:p w14:paraId="31BAFB1D" w14:textId="77777777" w:rsidR="00785DDE" w:rsidRDefault="003D1771" w:rsidP="006E22EF">
            <w:pPr>
              <w:pStyle w:val="TableText"/>
              <w:rPr>
                <w:noProof/>
              </w:rPr>
            </w:pPr>
            <w:r w:rsidRPr="003D1771">
              <w:rPr>
                <w:noProof/>
              </w:rPr>
              <w:t>UK Government Investments (UKGI) is HM Treasury’s centre of expertise for corporate finance and governance, managing the government’s shareholdings and financial interventions. FInTAG (Financial Instruments and Transaction Advisory Group) is a UKGI team that advises departments on complex financial transactions, including loans, guarantees, and equity, to support economic growth.</w:t>
            </w:r>
          </w:p>
          <w:p w14:paraId="55B441C9" w14:textId="77777777" w:rsidR="003D1771" w:rsidRDefault="003D1771" w:rsidP="006E22EF">
            <w:pPr>
              <w:pStyle w:val="TableText"/>
              <w:rPr>
                <w:noProof/>
              </w:rPr>
            </w:pPr>
          </w:p>
          <w:p w14:paraId="64599257" w14:textId="28D418DF" w:rsidR="003D1771" w:rsidRPr="00690AD6" w:rsidRDefault="003D1771" w:rsidP="006E22EF">
            <w:pPr>
              <w:pStyle w:val="TableText"/>
              <w:rPr>
                <w:noProof/>
              </w:rPr>
            </w:pPr>
            <w:r w:rsidRPr="003D1771">
              <w:rPr>
                <w:noProof/>
              </w:rPr>
              <w:t>Other experts within government such as the blended finance team may also be able to help.</w:t>
            </w:r>
          </w:p>
        </w:tc>
        <w:tc>
          <w:tcPr>
            <w:tcW w:w="3969" w:type="dxa"/>
          </w:tcPr>
          <w:p w14:paraId="5B5008CB" w14:textId="5F7CF28B" w:rsidR="00785DDE" w:rsidRPr="00690AD6" w:rsidRDefault="003D1771" w:rsidP="006E22EF">
            <w:pPr>
              <w:pStyle w:val="TableText"/>
              <w:rPr>
                <w:noProof/>
              </w:rPr>
            </w:pPr>
            <w:r w:rsidRPr="003D1771">
              <w:rPr>
                <w:noProof/>
              </w:rPr>
              <w:t>FInTAG provides expert advice on structuring loans, guarantees, equity investments, and contingent liabilities, ensuring transactions are commercially sound and aligned with government policy. They help assess and manage financial, legal, and reputational risks, especially for high-value or novel interventions.</w:t>
            </w:r>
          </w:p>
        </w:tc>
      </w:tr>
    </w:tbl>
    <w:p w14:paraId="26561F7A" w14:textId="77777777" w:rsidR="00785DDE" w:rsidRDefault="00785DDE" w:rsidP="00785DDE">
      <w:pPr>
        <w:pStyle w:val="BodyText"/>
      </w:pPr>
    </w:p>
    <w:p w14:paraId="6D84386A" w14:textId="57719EA1" w:rsidR="003D1771" w:rsidRDefault="003D1771">
      <w:pPr>
        <w:spacing w:after="160" w:line="259" w:lineRule="auto"/>
        <w:rPr>
          <w:sz w:val="24"/>
        </w:rPr>
      </w:pPr>
      <w:r>
        <w:br w:type="page"/>
      </w:r>
    </w:p>
    <w:p w14:paraId="1B434897" w14:textId="3A369662" w:rsidR="003D1771" w:rsidRDefault="003D1771" w:rsidP="003D1771">
      <w:pPr>
        <w:pStyle w:val="Heading3"/>
      </w:pPr>
      <w:r w:rsidRPr="003D1771">
        <w:lastRenderedPageBreak/>
        <w:t>Public Financing Institutions (</w:t>
      </w:r>
      <w:proofErr w:type="spellStart"/>
      <w:r w:rsidRPr="003D1771">
        <w:t>PuFins</w:t>
      </w:r>
      <w:proofErr w:type="spellEnd"/>
      <w:r w:rsidRPr="003D1771">
        <w:t>)</w:t>
      </w:r>
    </w:p>
    <w:tbl>
      <w:tblPr>
        <w:tblStyle w:val="TableGridLight"/>
        <w:tblW w:w="0" w:type="auto"/>
        <w:tblCellMar>
          <w:top w:w="113" w:type="dxa"/>
          <w:left w:w="113" w:type="dxa"/>
          <w:bottom w:w="113" w:type="dxa"/>
          <w:right w:w="113" w:type="dxa"/>
        </w:tblCellMar>
        <w:tblLook w:val="04A0" w:firstRow="1" w:lastRow="0" w:firstColumn="1" w:lastColumn="0" w:noHBand="0" w:noVBand="1"/>
      </w:tblPr>
      <w:tblGrid>
        <w:gridCol w:w="5665"/>
        <w:gridCol w:w="3969"/>
      </w:tblGrid>
      <w:tr w:rsidR="003D1771" w14:paraId="702EE6E2" w14:textId="77777777" w:rsidTr="006E22EF">
        <w:tc>
          <w:tcPr>
            <w:tcW w:w="5665" w:type="dxa"/>
          </w:tcPr>
          <w:p w14:paraId="7F4476B5" w14:textId="60EFAEB2" w:rsidR="003D1771" w:rsidRDefault="003D1771" w:rsidP="006E22EF">
            <w:pPr>
              <w:pStyle w:val="TableHeading"/>
              <w:rPr>
                <w:noProof/>
              </w:rPr>
            </w:pPr>
            <w:r w:rsidRPr="002220C6">
              <w:rPr>
                <w:noProof/>
              </w:rPr>
              <w:t>Description/</w:t>
            </w:r>
            <w:r w:rsidR="006B142A">
              <w:rPr>
                <w:noProof/>
              </w:rPr>
              <w:t>m</w:t>
            </w:r>
            <w:r w:rsidRPr="002220C6">
              <w:rPr>
                <w:noProof/>
              </w:rPr>
              <w:t>andate</w:t>
            </w:r>
          </w:p>
        </w:tc>
        <w:tc>
          <w:tcPr>
            <w:tcW w:w="3969" w:type="dxa"/>
          </w:tcPr>
          <w:p w14:paraId="008B0441" w14:textId="18024A87" w:rsidR="003D1771" w:rsidRDefault="003D1771" w:rsidP="006E22EF">
            <w:pPr>
              <w:pStyle w:val="TableHeading"/>
              <w:rPr>
                <w:noProof/>
              </w:rPr>
            </w:pPr>
            <w:r w:rsidRPr="002220C6">
              <w:rPr>
                <w:noProof/>
              </w:rPr>
              <w:t xml:space="preserve">Considerations for involvement in </w:t>
            </w:r>
            <w:r w:rsidR="006B142A">
              <w:rPr>
                <w:noProof/>
              </w:rPr>
              <w:t>b</w:t>
            </w:r>
            <w:r w:rsidRPr="002220C6">
              <w:rPr>
                <w:noProof/>
              </w:rPr>
              <w:t xml:space="preserve">lended </w:t>
            </w:r>
            <w:r w:rsidR="006B142A">
              <w:rPr>
                <w:noProof/>
              </w:rPr>
              <w:t>f</w:t>
            </w:r>
            <w:r w:rsidRPr="002220C6">
              <w:rPr>
                <w:noProof/>
              </w:rPr>
              <w:t>inance</w:t>
            </w:r>
          </w:p>
        </w:tc>
      </w:tr>
      <w:tr w:rsidR="003D1771" w:rsidRPr="00690AD6" w14:paraId="7B237446" w14:textId="77777777" w:rsidTr="006E22EF">
        <w:trPr>
          <w:trHeight w:val="321"/>
        </w:trPr>
        <w:tc>
          <w:tcPr>
            <w:tcW w:w="5665" w:type="dxa"/>
          </w:tcPr>
          <w:p w14:paraId="60E8DDFF" w14:textId="49B93A9C" w:rsidR="003D1771" w:rsidRPr="00690AD6" w:rsidRDefault="003D1771" w:rsidP="003D1771">
            <w:pPr>
              <w:pStyle w:val="TableText"/>
              <w:rPr>
                <w:noProof/>
              </w:rPr>
            </w:pPr>
            <w:r w:rsidRPr="003D1771">
              <w:rPr>
                <w:noProof/>
              </w:rPr>
              <w:t>PuFins manage and deliver large-scale financial transactions. PuFins ensure that financial transactions are fiscally sustainable. They also help mobilise private sector investment, particularly in sectors where government intervention is needed to unlock capital. The Financial Transaction Control Framework outlines how PuFins operate within government spending controls.</w:t>
            </w:r>
          </w:p>
        </w:tc>
        <w:tc>
          <w:tcPr>
            <w:tcW w:w="3969" w:type="dxa"/>
          </w:tcPr>
          <w:p w14:paraId="60997B7E" w14:textId="50689577" w:rsidR="003D1771" w:rsidRPr="00690AD6" w:rsidRDefault="003D1771" w:rsidP="006E22EF">
            <w:pPr>
              <w:pStyle w:val="TableText"/>
              <w:rPr>
                <w:noProof/>
              </w:rPr>
            </w:pPr>
            <w:r w:rsidRPr="003D1771">
              <w:rPr>
                <w:noProof/>
              </w:rPr>
              <w:t>More detailed information on the UK’s public finance landscape was included in module one of this course. PuFins are some of the first stakeholders to consult with. You will need to work closely with them on all stages of a transaction, unless you can prove that a UK PuFin is not suitable for the type of transaction that you are looking to deliver. There will be more on the models of delivery in the next section.</w:t>
            </w:r>
          </w:p>
        </w:tc>
      </w:tr>
    </w:tbl>
    <w:p w14:paraId="3CDF620D" w14:textId="77777777" w:rsidR="00465441" w:rsidRDefault="00465441" w:rsidP="000C3FA2">
      <w:pPr>
        <w:pStyle w:val="BodyText"/>
      </w:pPr>
    </w:p>
    <w:p w14:paraId="2846EA00" w14:textId="314696FF" w:rsidR="00C55D7D" w:rsidRDefault="00C55D7D" w:rsidP="00C55D7D">
      <w:pPr>
        <w:pStyle w:val="Heading3"/>
      </w:pPr>
      <w:r w:rsidRPr="00C55D7D">
        <w:t>HMT Spending Leads</w:t>
      </w:r>
    </w:p>
    <w:tbl>
      <w:tblPr>
        <w:tblStyle w:val="TableGridLight"/>
        <w:tblW w:w="0" w:type="auto"/>
        <w:tblCellMar>
          <w:top w:w="113" w:type="dxa"/>
          <w:left w:w="113" w:type="dxa"/>
          <w:bottom w:w="113" w:type="dxa"/>
          <w:right w:w="113" w:type="dxa"/>
        </w:tblCellMar>
        <w:tblLook w:val="04A0" w:firstRow="1" w:lastRow="0" w:firstColumn="1" w:lastColumn="0" w:noHBand="0" w:noVBand="1"/>
      </w:tblPr>
      <w:tblGrid>
        <w:gridCol w:w="5665"/>
        <w:gridCol w:w="3969"/>
      </w:tblGrid>
      <w:tr w:rsidR="00C55D7D" w14:paraId="645FCD99" w14:textId="77777777" w:rsidTr="006E22EF">
        <w:tc>
          <w:tcPr>
            <w:tcW w:w="5665" w:type="dxa"/>
          </w:tcPr>
          <w:p w14:paraId="438BD3AC" w14:textId="1D5A27A4" w:rsidR="00C55D7D" w:rsidRDefault="00C55D7D" w:rsidP="006E22EF">
            <w:pPr>
              <w:pStyle w:val="TableHeading"/>
              <w:rPr>
                <w:noProof/>
              </w:rPr>
            </w:pPr>
            <w:r w:rsidRPr="002220C6">
              <w:rPr>
                <w:noProof/>
              </w:rPr>
              <w:t>Description/</w:t>
            </w:r>
            <w:r w:rsidR="006B142A">
              <w:rPr>
                <w:noProof/>
              </w:rPr>
              <w:t>m</w:t>
            </w:r>
            <w:r w:rsidRPr="002220C6">
              <w:rPr>
                <w:noProof/>
              </w:rPr>
              <w:t>andate</w:t>
            </w:r>
          </w:p>
        </w:tc>
        <w:tc>
          <w:tcPr>
            <w:tcW w:w="3969" w:type="dxa"/>
          </w:tcPr>
          <w:p w14:paraId="664446DF" w14:textId="706336F1" w:rsidR="00C55D7D" w:rsidRDefault="00C55D7D" w:rsidP="006E22EF">
            <w:pPr>
              <w:pStyle w:val="TableHeading"/>
              <w:rPr>
                <w:noProof/>
              </w:rPr>
            </w:pPr>
            <w:r w:rsidRPr="002220C6">
              <w:rPr>
                <w:noProof/>
              </w:rPr>
              <w:t xml:space="preserve">Considerations for involvement in </w:t>
            </w:r>
            <w:r w:rsidR="006B142A">
              <w:rPr>
                <w:noProof/>
              </w:rPr>
              <w:t>b</w:t>
            </w:r>
            <w:r w:rsidRPr="002220C6">
              <w:rPr>
                <w:noProof/>
              </w:rPr>
              <w:t xml:space="preserve">lended </w:t>
            </w:r>
            <w:r w:rsidR="006B142A">
              <w:rPr>
                <w:noProof/>
              </w:rPr>
              <w:t>f</w:t>
            </w:r>
            <w:r w:rsidRPr="002220C6">
              <w:rPr>
                <w:noProof/>
              </w:rPr>
              <w:t>inance</w:t>
            </w:r>
          </w:p>
        </w:tc>
      </w:tr>
      <w:tr w:rsidR="00C55D7D" w:rsidRPr="00690AD6" w14:paraId="4ADFE23F" w14:textId="77777777" w:rsidTr="006E22EF">
        <w:trPr>
          <w:trHeight w:val="321"/>
        </w:trPr>
        <w:tc>
          <w:tcPr>
            <w:tcW w:w="5665" w:type="dxa"/>
          </w:tcPr>
          <w:p w14:paraId="4A5F58B3" w14:textId="01A3C420" w:rsidR="00C55D7D" w:rsidRPr="00690AD6" w:rsidRDefault="00C55D7D" w:rsidP="006E22EF">
            <w:pPr>
              <w:pStyle w:val="TableText"/>
              <w:rPr>
                <w:noProof/>
              </w:rPr>
            </w:pPr>
            <w:r w:rsidRPr="00C55D7D">
              <w:rPr>
                <w:noProof/>
              </w:rPr>
              <w:t>HMT Spending Leads play a crucial role in overseeing financial transactions within the UK government. They ensure that public funds are allocated efficiently, aligning spending decisions with government priorities and fiscal rules.</w:t>
            </w:r>
          </w:p>
        </w:tc>
        <w:tc>
          <w:tcPr>
            <w:tcW w:w="3969" w:type="dxa"/>
          </w:tcPr>
          <w:p w14:paraId="46DA9701" w14:textId="3693EE4B" w:rsidR="00C55D7D" w:rsidRPr="00690AD6" w:rsidRDefault="00C55D7D" w:rsidP="006E22EF">
            <w:pPr>
              <w:pStyle w:val="TableText"/>
              <w:rPr>
                <w:noProof/>
              </w:rPr>
            </w:pPr>
            <w:r w:rsidRPr="00C55D7D">
              <w:rPr>
                <w:noProof/>
              </w:rPr>
              <w:t>This team should be consulted with after your own department’s commercial teams and CGAP.</w:t>
            </w:r>
          </w:p>
        </w:tc>
      </w:tr>
    </w:tbl>
    <w:p w14:paraId="1CBBEBBB" w14:textId="77777777" w:rsidR="00C55D7D" w:rsidRDefault="00C55D7D" w:rsidP="000C3FA2">
      <w:pPr>
        <w:pStyle w:val="BodyText"/>
      </w:pPr>
    </w:p>
    <w:p w14:paraId="78218D71" w14:textId="529EBBD6" w:rsidR="00C55D7D" w:rsidRDefault="00C55D7D" w:rsidP="00C55D7D">
      <w:pPr>
        <w:pStyle w:val="Heading3"/>
      </w:pPr>
      <w:r w:rsidRPr="00C55D7D">
        <w:t xml:space="preserve">Commercial </w:t>
      </w:r>
      <w:r w:rsidR="006B142A">
        <w:t>t</w:t>
      </w:r>
      <w:r w:rsidRPr="00C55D7D">
        <w:t>eam</w:t>
      </w:r>
    </w:p>
    <w:tbl>
      <w:tblPr>
        <w:tblStyle w:val="TableGridLight"/>
        <w:tblW w:w="0" w:type="auto"/>
        <w:tblCellMar>
          <w:top w:w="113" w:type="dxa"/>
          <w:left w:w="113" w:type="dxa"/>
          <w:bottom w:w="113" w:type="dxa"/>
          <w:right w:w="113" w:type="dxa"/>
        </w:tblCellMar>
        <w:tblLook w:val="04A0" w:firstRow="1" w:lastRow="0" w:firstColumn="1" w:lastColumn="0" w:noHBand="0" w:noVBand="1"/>
      </w:tblPr>
      <w:tblGrid>
        <w:gridCol w:w="5665"/>
        <w:gridCol w:w="3969"/>
      </w:tblGrid>
      <w:tr w:rsidR="00C55D7D" w14:paraId="6B87D7D3" w14:textId="77777777" w:rsidTr="006E22EF">
        <w:tc>
          <w:tcPr>
            <w:tcW w:w="5665" w:type="dxa"/>
          </w:tcPr>
          <w:p w14:paraId="3A3C2FAC" w14:textId="09BA1367" w:rsidR="00C55D7D" w:rsidRDefault="00C55D7D" w:rsidP="006E22EF">
            <w:pPr>
              <w:pStyle w:val="TableHeading"/>
              <w:rPr>
                <w:noProof/>
              </w:rPr>
            </w:pPr>
            <w:r w:rsidRPr="002220C6">
              <w:rPr>
                <w:noProof/>
              </w:rPr>
              <w:t>Description/</w:t>
            </w:r>
            <w:r w:rsidR="006B142A">
              <w:rPr>
                <w:noProof/>
              </w:rPr>
              <w:t>m</w:t>
            </w:r>
            <w:r w:rsidRPr="002220C6">
              <w:rPr>
                <w:noProof/>
              </w:rPr>
              <w:t>andate</w:t>
            </w:r>
          </w:p>
        </w:tc>
        <w:tc>
          <w:tcPr>
            <w:tcW w:w="3969" w:type="dxa"/>
          </w:tcPr>
          <w:p w14:paraId="31FDAAA2" w14:textId="4B70984F" w:rsidR="00C55D7D" w:rsidRDefault="00C55D7D" w:rsidP="006E22EF">
            <w:pPr>
              <w:pStyle w:val="TableHeading"/>
              <w:rPr>
                <w:noProof/>
              </w:rPr>
            </w:pPr>
            <w:r w:rsidRPr="002220C6">
              <w:rPr>
                <w:noProof/>
              </w:rPr>
              <w:t xml:space="preserve">Considerations for involvement in </w:t>
            </w:r>
            <w:r w:rsidR="006B142A">
              <w:rPr>
                <w:noProof/>
              </w:rPr>
              <w:t>b</w:t>
            </w:r>
            <w:r w:rsidRPr="002220C6">
              <w:rPr>
                <w:noProof/>
              </w:rPr>
              <w:t xml:space="preserve">lended </w:t>
            </w:r>
            <w:r w:rsidR="006B142A">
              <w:rPr>
                <w:noProof/>
              </w:rPr>
              <w:t>f</w:t>
            </w:r>
            <w:r w:rsidRPr="002220C6">
              <w:rPr>
                <w:noProof/>
              </w:rPr>
              <w:t>inance</w:t>
            </w:r>
          </w:p>
        </w:tc>
      </w:tr>
      <w:tr w:rsidR="00C55D7D" w:rsidRPr="00690AD6" w14:paraId="5E9B6386" w14:textId="77777777" w:rsidTr="006E22EF">
        <w:trPr>
          <w:trHeight w:val="321"/>
        </w:trPr>
        <w:tc>
          <w:tcPr>
            <w:tcW w:w="5665" w:type="dxa"/>
          </w:tcPr>
          <w:p w14:paraId="556FA4B9" w14:textId="06FABF0E" w:rsidR="00C55D7D" w:rsidRPr="00690AD6" w:rsidRDefault="00C55D7D" w:rsidP="006E22EF">
            <w:pPr>
              <w:pStyle w:val="TableText"/>
              <w:rPr>
                <w:noProof/>
              </w:rPr>
            </w:pPr>
            <w:r w:rsidRPr="00C55D7D">
              <w:rPr>
                <w:noProof/>
              </w:rPr>
              <w:t>The Commercial team focuses on procurement, contract management, and commercial strategy. The team plays a crucial role in Financial Transactions, ensuring that government spending is efficient and aligned with policy objectives.</w:t>
            </w:r>
          </w:p>
        </w:tc>
        <w:tc>
          <w:tcPr>
            <w:tcW w:w="3969" w:type="dxa"/>
          </w:tcPr>
          <w:p w14:paraId="370F3CC7" w14:textId="16BCBC23" w:rsidR="00C55D7D" w:rsidRPr="00690AD6" w:rsidRDefault="00C55D7D" w:rsidP="006E22EF">
            <w:pPr>
              <w:pStyle w:val="TableText"/>
              <w:rPr>
                <w:noProof/>
              </w:rPr>
            </w:pPr>
            <w:r w:rsidRPr="00C55D7D">
              <w:rPr>
                <w:noProof/>
              </w:rPr>
              <w:t>Your commercial advisor should be consulted early on after the pre-scoping phase of a blended finance transaction or ‘financial transaction’.</w:t>
            </w:r>
          </w:p>
        </w:tc>
      </w:tr>
    </w:tbl>
    <w:p w14:paraId="222B7483" w14:textId="6FDA3002" w:rsidR="00C55D7D" w:rsidRDefault="00C55D7D" w:rsidP="000C3FA2">
      <w:pPr>
        <w:pStyle w:val="BodyText"/>
      </w:pPr>
    </w:p>
    <w:p w14:paraId="2070B9C9" w14:textId="77777777" w:rsidR="00C55D7D" w:rsidRDefault="00C55D7D">
      <w:pPr>
        <w:spacing w:after="160" w:line="259" w:lineRule="auto"/>
        <w:rPr>
          <w:sz w:val="24"/>
        </w:rPr>
      </w:pPr>
      <w:r>
        <w:br w:type="page"/>
      </w:r>
    </w:p>
    <w:p w14:paraId="5904C763" w14:textId="2C16D07F" w:rsidR="00C55D7D" w:rsidRDefault="00C55D7D" w:rsidP="00C55D7D">
      <w:pPr>
        <w:pStyle w:val="Heading3"/>
      </w:pPr>
      <w:r w:rsidRPr="00C55D7D">
        <w:lastRenderedPageBreak/>
        <w:t>Departments Internal Finance Team</w:t>
      </w:r>
    </w:p>
    <w:tbl>
      <w:tblPr>
        <w:tblStyle w:val="TableGridLight"/>
        <w:tblW w:w="0" w:type="auto"/>
        <w:tblCellMar>
          <w:top w:w="113" w:type="dxa"/>
          <w:left w:w="113" w:type="dxa"/>
          <w:bottom w:w="113" w:type="dxa"/>
          <w:right w:w="113" w:type="dxa"/>
        </w:tblCellMar>
        <w:tblLook w:val="04A0" w:firstRow="1" w:lastRow="0" w:firstColumn="1" w:lastColumn="0" w:noHBand="0" w:noVBand="1"/>
      </w:tblPr>
      <w:tblGrid>
        <w:gridCol w:w="5665"/>
        <w:gridCol w:w="3969"/>
      </w:tblGrid>
      <w:tr w:rsidR="00C55D7D" w14:paraId="40EFE251" w14:textId="77777777" w:rsidTr="006E22EF">
        <w:tc>
          <w:tcPr>
            <w:tcW w:w="5665" w:type="dxa"/>
          </w:tcPr>
          <w:p w14:paraId="276213AF" w14:textId="5F437A0A" w:rsidR="00C55D7D" w:rsidRDefault="00C55D7D" w:rsidP="006E22EF">
            <w:pPr>
              <w:pStyle w:val="TableHeading"/>
              <w:rPr>
                <w:noProof/>
              </w:rPr>
            </w:pPr>
            <w:r w:rsidRPr="002220C6">
              <w:rPr>
                <w:noProof/>
              </w:rPr>
              <w:t>Description/</w:t>
            </w:r>
            <w:r w:rsidR="006B142A">
              <w:rPr>
                <w:noProof/>
              </w:rPr>
              <w:t>m</w:t>
            </w:r>
            <w:r w:rsidRPr="002220C6">
              <w:rPr>
                <w:noProof/>
              </w:rPr>
              <w:t>andate</w:t>
            </w:r>
          </w:p>
        </w:tc>
        <w:tc>
          <w:tcPr>
            <w:tcW w:w="3969" w:type="dxa"/>
          </w:tcPr>
          <w:p w14:paraId="7899D792" w14:textId="0DD4BAF5" w:rsidR="00C55D7D" w:rsidRDefault="00C55D7D" w:rsidP="006E22EF">
            <w:pPr>
              <w:pStyle w:val="TableHeading"/>
              <w:rPr>
                <w:noProof/>
              </w:rPr>
            </w:pPr>
            <w:r w:rsidRPr="002220C6">
              <w:rPr>
                <w:noProof/>
              </w:rPr>
              <w:t xml:space="preserve">Considerations for involvement in </w:t>
            </w:r>
            <w:r w:rsidR="006B142A">
              <w:rPr>
                <w:noProof/>
              </w:rPr>
              <w:t>b</w:t>
            </w:r>
            <w:r w:rsidRPr="002220C6">
              <w:rPr>
                <w:noProof/>
              </w:rPr>
              <w:t xml:space="preserve">lended </w:t>
            </w:r>
            <w:r w:rsidR="006B142A">
              <w:rPr>
                <w:noProof/>
              </w:rPr>
              <w:t>f</w:t>
            </w:r>
            <w:r w:rsidRPr="002220C6">
              <w:rPr>
                <w:noProof/>
              </w:rPr>
              <w:t>inance</w:t>
            </w:r>
          </w:p>
        </w:tc>
      </w:tr>
      <w:tr w:rsidR="00C55D7D" w:rsidRPr="00690AD6" w14:paraId="60299C8B" w14:textId="77777777" w:rsidTr="006E22EF">
        <w:trPr>
          <w:trHeight w:val="321"/>
        </w:trPr>
        <w:tc>
          <w:tcPr>
            <w:tcW w:w="5665" w:type="dxa"/>
          </w:tcPr>
          <w:p w14:paraId="4DCA1504" w14:textId="4C0CA47D" w:rsidR="00C55D7D" w:rsidRPr="00690AD6" w:rsidRDefault="00C55D7D" w:rsidP="006E22EF">
            <w:pPr>
              <w:pStyle w:val="TableText"/>
              <w:rPr>
                <w:noProof/>
              </w:rPr>
            </w:pPr>
            <w:r w:rsidRPr="00C55D7D">
              <w:rPr>
                <w:noProof/>
              </w:rPr>
              <w:t>Manages budgeting, forecasting, and financial reporting across the department. They support policy teams, ensure compliance with Treasury rules, and assess the financial implications of programmes. Their role is to ensure public funds are used effectively, transparently, and in line with strategic and fiscal priorities.</w:t>
            </w:r>
          </w:p>
        </w:tc>
        <w:tc>
          <w:tcPr>
            <w:tcW w:w="3969" w:type="dxa"/>
          </w:tcPr>
          <w:p w14:paraId="5C952141" w14:textId="1717DD34" w:rsidR="00C55D7D" w:rsidRPr="00690AD6" w:rsidRDefault="00C55D7D" w:rsidP="006E22EF">
            <w:pPr>
              <w:pStyle w:val="TableText"/>
              <w:rPr>
                <w:noProof/>
              </w:rPr>
            </w:pPr>
            <w:r w:rsidRPr="00C55D7D">
              <w:rPr>
                <w:noProof/>
              </w:rPr>
              <w:t>Should be engaged early in the process of a financial transaction and can help teams navigate the requirements and signpost to other internal stakeholders.</w:t>
            </w:r>
          </w:p>
        </w:tc>
      </w:tr>
    </w:tbl>
    <w:p w14:paraId="11D3B4B5" w14:textId="77777777" w:rsidR="00C55D7D" w:rsidRDefault="00C55D7D" w:rsidP="000C3FA2">
      <w:pPr>
        <w:pStyle w:val="BodyText"/>
      </w:pPr>
    </w:p>
    <w:sectPr w:rsidR="00C55D7D" w:rsidSect="00EF23B2">
      <w:headerReference w:type="default" r:id="rId11"/>
      <w:headerReference w:type="first" r:id="rId12"/>
      <w:pgSz w:w="11906" w:h="16838" w:code="9"/>
      <w:pgMar w:top="851" w:right="851" w:bottom="488" w:left="85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8819A" w14:textId="77777777" w:rsidR="00E154E3" w:rsidRDefault="00E154E3" w:rsidP="004305E5">
      <w:pPr>
        <w:spacing w:after="0"/>
      </w:pPr>
      <w:r>
        <w:separator/>
      </w:r>
    </w:p>
  </w:endnote>
  <w:endnote w:type="continuationSeparator" w:id="0">
    <w:p w14:paraId="7208F874" w14:textId="77777777" w:rsidR="00E154E3" w:rsidRDefault="00E154E3" w:rsidP="004305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41648" w14:textId="77777777" w:rsidR="00E154E3" w:rsidRDefault="00E154E3" w:rsidP="004305E5">
      <w:pPr>
        <w:spacing w:after="0"/>
      </w:pPr>
      <w:r>
        <w:separator/>
      </w:r>
    </w:p>
  </w:footnote>
  <w:footnote w:type="continuationSeparator" w:id="0">
    <w:p w14:paraId="17C76FA4" w14:textId="77777777" w:rsidR="00E154E3" w:rsidRDefault="00E154E3" w:rsidP="004305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B3F1" w14:textId="21EDD2E4" w:rsidR="00690AD6" w:rsidRDefault="00690AD6" w:rsidP="00690AD6">
    <w:pPr>
      <w:pStyle w:val="Header"/>
      <w:jc w:val="right"/>
    </w:pPr>
  </w:p>
  <w:p w14:paraId="218418E6" w14:textId="77777777" w:rsidR="00C267E9" w:rsidRDefault="00C267E9" w:rsidP="000C585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02BC" w14:textId="3BC037BD" w:rsidR="00EF23B2" w:rsidRDefault="00EF23B2" w:rsidP="00EF23B2">
    <w:pPr>
      <w:pStyle w:val="Header"/>
      <w:jc w:val="right"/>
    </w:pPr>
    <w:r>
      <w:rPr>
        <w:noProof/>
      </w:rPr>
      <w:drawing>
        <wp:inline distT="0" distB="0" distL="0" distR="0" wp14:anchorId="58272F5E" wp14:editId="65530730">
          <wp:extent cx="1726115" cy="543517"/>
          <wp:effectExtent l="0" t="0" r="7620" b="9525"/>
          <wp:docPr id="94013970" name="Picture 1" descr="Government C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13970" name="Picture 1" descr="Government Campus"/>
                  <pic:cNvPicPr/>
                </pic:nvPicPr>
                <pic:blipFill>
                  <a:blip r:embed="rId1">
                    <a:extLst>
                      <a:ext uri="{28A0092B-C50C-407E-A947-70E740481C1C}">
                        <a14:useLocalDpi xmlns:a14="http://schemas.microsoft.com/office/drawing/2010/main" val="0"/>
                      </a:ext>
                    </a:extLst>
                  </a:blip>
                  <a:stretch>
                    <a:fillRect/>
                  </a:stretch>
                </pic:blipFill>
                <pic:spPr>
                  <a:xfrm>
                    <a:off x="0" y="0"/>
                    <a:ext cx="1726115" cy="543517"/>
                  </a:xfrm>
                  <a:prstGeom prst="rect">
                    <a:avLst/>
                  </a:prstGeom>
                </pic:spPr>
              </pic:pic>
            </a:graphicData>
          </a:graphic>
        </wp:inline>
      </w:drawing>
    </w:r>
  </w:p>
  <w:p w14:paraId="529F8AE6" w14:textId="77777777" w:rsidR="00EF23B2" w:rsidRDefault="00EF23B2" w:rsidP="00EF23B2">
    <w:pPr>
      <w:pStyle w:val="Header"/>
      <w:jc w:val="right"/>
    </w:pPr>
  </w:p>
  <w:p w14:paraId="1FE7D652" w14:textId="77777777" w:rsidR="00EF23B2" w:rsidRDefault="00EF23B2" w:rsidP="00EF23B2">
    <w:pPr>
      <w:pStyle w:val="Header"/>
      <w:jc w:val="right"/>
    </w:pPr>
  </w:p>
  <w:p w14:paraId="0D559C7C" w14:textId="77777777" w:rsidR="00EF23B2" w:rsidRDefault="00EF23B2" w:rsidP="00EF23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97C443E"/>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CDD29C7C"/>
    <w:lvl w:ilvl="0">
      <w:start w:val="1"/>
      <w:numFmt w:val="bullet"/>
      <w:pStyle w:val="ListBullet2"/>
      <w:lvlText w:val=""/>
      <w:lvlJc w:val="left"/>
      <w:pPr>
        <w:tabs>
          <w:tab w:val="num" w:pos="907"/>
        </w:tabs>
        <w:ind w:left="907" w:hanging="453"/>
      </w:pPr>
      <w:rPr>
        <w:rFonts w:ascii="Symbol" w:hAnsi="Symbol" w:hint="default"/>
      </w:rPr>
    </w:lvl>
  </w:abstractNum>
  <w:abstractNum w:abstractNumId="2" w15:restartNumberingAfterBreak="0">
    <w:nsid w:val="FFFFFF89"/>
    <w:multiLevelType w:val="singleLevel"/>
    <w:tmpl w:val="77185BEE"/>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8880212"/>
    <w:multiLevelType w:val="hybridMultilevel"/>
    <w:tmpl w:val="5B56589C"/>
    <w:lvl w:ilvl="0" w:tplc="3C46C91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3810EA"/>
    <w:multiLevelType w:val="multilevel"/>
    <w:tmpl w:val="1F1A70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B860BC"/>
    <w:multiLevelType w:val="hybridMultilevel"/>
    <w:tmpl w:val="AB72E24C"/>
    <w:lvl w:ilvl="0" w:tplc="CAE0A6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5C4D05"/>
    <w:multiLevelType w:val="hybridMultilevel"/>
    <w:tmpl w:val="52E8D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2820FE4"/>
    <w:multiLevelType w:val="hybridMultilevel"/>
    <w:tmpl w:val="C3A07978"/>
    <w:lvl w:ilvl="0" w:tplc="4AF06BE4">
      <w:start w:val="1"/>
      <w:numFmt w:val="lowerLetter"/>
      <w:pStyle w:val="ListLett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52917B0"/>
    <w:multiLevelType w:val="hybridMultilevel"/>
    <w:tmpl w:val="84DC7526"/>
    <w:lvl w:ilvl="0" w:tplc="AFE8DDF6">
      <w:start w:val="1"/>
      <w:numFmt w:val="lowerLetter"/>
      <w:pStyle w:val="TableText-ListLett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564F8B"/>
    <w:multiLevelType w:val="hybridMultilevel"/>
    <w:tmpl w:val="A4140E80"/>
    <w:lvl w:ilvl="0" w:tplc="F342EE4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34318C"/>
    <w:multiLevelType w:val="multilevel"/>
    <w:tmpl w:val="EFAA03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5783E88"/>
    <w:multiLevelType w:val="hybridMultilevel"/>
    <w:tmpl w:val="52E8D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B47263D"/>
    <w:multiLevelType w:val="multilevel"/>
    <w:tmpl w:val="A4E8096A"/>
    <w:lvl w:ilvl="0">
      <w:start w:val="1"/>
      <w:numFmt w:val="decimal"/>
      <w:lvlText w:val="%1"/>
      <w:lvlJc w:val="left"/>
      <w:pPr>
        <w:ind w:left="432" w:hanging="432"/>
      </w:pPr>
      <w:rPr>
        <w:rFonts w:hint="default"/>
        <w:color w:val="68CC00" w:themeColor="accent1"/>
        <w:u w:color="68CC00"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7DC5387B"/>
    <w:multiLevelType w:val="hybridMultilevel"/>
    <w:tmpl w:val="FF784794"/>
    <w:lvl w:ilvl="0" w:tplc="6D14FC8A">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D50418"/>
    <w:multiLevelType w:val="multilevel"/>
    <w:tmpl w:val="94D8BF58"/>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1134" w:hanging="68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18420716">
    <w:abstractNumId w:val="2"/>
  </w:num>
  <w:num w:numId="2" w16cid:durableId="437525062">
    <w:abstractNumId w:val="1"/>
  </w:num>
  <w:num w:numId="3" w16cid:durableId="1277249361">
    <w:abstractNumId w:val="14"/>
  </w:num>
  <w:num w:numId="4" w16cid:durableId="1184325786">
    <w:abstractNumId w:val="0"/>
  </w:num>
  <w:num w:numId="5" w16cid:durableId="1023751164">
    <w:abstractNumId w:val="12"/>
  </w:num>
  <w:num w:numId="6" w16cid:durableId="1184630267">
    <w:abstractNumId w:val="3"/>
  </w:num>
  <w:num w:numId="7" w16cid:durableId="1973628987">
    <w:abstractNumId w:val="9"/>
  </w:num>
  <w:num w:numId="8" w16cid:durableId="26149868">
    <w:abstractNumId w:val="4"/>
  </w:num>
  <w:num w:numId="9" w16cid:durableId="851148223">
    <w:abstractNumId w:val="10"/>
  </w:num>
  <w:num w:numId="10" w16cid:durableId="635913778">
    <w:abstractNumId w:val="8"/>
  </w:num>
  <w:num w:numId="11" w16cid:durableId="7948836">
    <w:abstractNumId w:val="13"/>
  </w:num>
  <w:num w:numId="12" w16cid:durableId="1624577728">
    <w:abstractNumId w:val="1"/>
  </w:num>
  <w:num w:numId="13" w16cid:durableId="291253346">
    <w:abstractNumId w:val="5"/>
  </w:num>
  <w:num w:numId="14" w16cid:durableId="639774807">
    <w:abstractNumId w:val="7"/>
  </w:num>
  <w:num w:numId="15" w16cid:durableId="844365967">
    <w:abstractNumId w:val="11"/>
  </w:num>
  <w:num w:numId="16" w16cid:durableId="2308183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164"/>
    <w:rsid w:val="00015341"/>
    <w:rsid w:val="000161C2"/>
    <w:rsid w:val="00027D75"/>
    <w:rsid w:val="000377E5"/>
    <w:rsid w:val="00041EF9"/>
    <w:rsid w:val="000465F7"/>
    <w:rsid w:val="00052311"/>
    <w:rsid w:val="00063043"/>
    <w:rsid w:val="000809C7"/>
    <w:rsid w:val="00081516"/>
    <w:rsid w:val="00081F2D"/>
    <w:rsid w:val="00093D57"/>
    <w:rsid w:val="000B089B"/>
    <w:rsid w:val="000B2351"/>
    <w:rsid w:val="000B7249"/>
    <w:rsid w:val="000C3FA2"/>
    <w:rsid w:val="000C5855"/>
    <w:rsid w:val="000D3AC6"/>
    <w:rsid w:val="000D626F"/>
    <w:rsid w:val="000D7585"/>
    <w:rsid w:val="000E3917"/>
    <w:rsid w:val="00104AE5"/>
    <w:rsid w:val="0012744F"/>
    <w:rsid w:val="00173CD7"/>
    <w:rsid w:val="00181594"/>
    <w:rsid w:val="00196189"/>
    <w:rsid w:val="001C39E3"/>
    <w:rsid w:val="001D4606"/>
    <w:rsid w:val="001F1BE6"/>
    <w:rsid w:val="001F617C"/>
    <w:rsid w:val="002037F5"/>
    <w:rsid w:val="00207D94"/>
    <w:rsid w:val="002220C6"/>
    <w:rsid w:val="002255F4"/>
    <w:rsid w:val="00255AEA"/>
    <w:rsid w:val="002764BE"/>
    <w:rsid w:val="002943A4"/>
    <w:rsid w:val="002D0B5B"/>
    <w:rsid w:val="002D0F5C"/>
    <w:rsid w:val="002E7CA2"/>
    <w:rsid w:val="002F2970"/>
    <w:rsid w:val="00345C49"/>
    <w:rsid w:val="00352E24"/>
    <w:rsid w:val="00354B4A"/>
    <w:rsid w:val="003578E5"/>
    <w:rsid w:val="00382715"/>
    <w:rsid w:val="00387D52"/>
    <w:rsid w:val="003D1771"/>
    <w:rsid w:val="003D5278"/>
    <w:rsid w:val="00410CF0"/>
    <w:rsid w:val="00424BD9"/>
    <w:rsid w:val="004305E5"/>
    <w:rsid w:val="00434842"/>
    <w:rsid w:val="00442CA5"/>
    <w:rsid w:val="0045457E"/>
    <w:rsid w:val="00465441"/>
    <w:rsid w:val="00471164"/>
    <w:rsid w:val="00477806"/>
    <w:rsid w:val="00493465"/>
    <w:rsid w:val="004A13AC"/>
    <w:rsid w:val="004E09A1"/>
    <w:rsid w:val="004F15A8"/>
    <w:rsid w:val="004F54A6"/>
    <w:rsid w:val="005047EB"/>
    <w:rsid w:val="00505BDA"/>
    <w:rsid w:val="00536576"/>
    <w:rsid w:val="0057672D"/>
    <w:rsid w:val="00580400"/>
    <w:rsid w:val="005C7FE7"/>
    <w:rsid w:val="005D2717"/>
    <w:rsid w:val="005D5481"/>
    <w:rsid w:val="005E2005"/>
    <w:rsid w:val="006245E6"/>
    <w:rsid w:val="006378BF"/>
    <w:rsid w:val="00645AB7"/>
    <w:rsid w:val="0064635C"/>
    <w:rsid w:val="0066562B"/>
    <w:rsid w:val="00674433"/>
    <w:rsid w:val="00683101"/>
    <w:rsid w:val="00690AD6"/>
    <w:rsid w:val="006B142A"/>
    <w:rsid w:val="006E4FE6"/>
    <w:rsid w:val="006F1DDD"/>
    <w:rsid w:val="007035BF"/>
    <w:rsid w:val="00711E77"/>
    <w:rsid w:val="00743ECA"/>
    <w:rsid w:val="00762B98"/>
    <w:rsid w:val="007718BA"/>
    <w:rsid w:val="00785829"/>
    <w:rsid w:val="00785DDE"/>
    <w:rsid w:val="007C477B"/>
    <w:rsid w:val="007E3069"/>
    <w:rsid w:val="007F0336"/>
    <w:rsid w:val="008172AE"/>
    <w:rsid w:val="00851A03"/>
    <w:rsid w:val="008678EB"/>
    <w:rsid w:val="008777C7"/>
    <w:rsid w:val="008835BA"/>
    <w:rsid w:val="00883BCC"/>
    <w:rsid w:val="008E728A"/>
    <w:rsid w:val="00907BDD"/>
    <w:rsid w:val="00951F6B"/>
    <w:rsid w:val="0095711B"/>
    <w:rsid w:val="00957371"/>
    <w:rsid w:val="009A3D4F"/>
    <w:rsid w:val="009F4FD1"/>
    <w:rsid w:val="009F5E6E"/>
    <w:rsid w:val="00A00B39"/>
    <w:rsid w:val="00A0433C"/>
    <w:rsid w:val="00A11556"/>
    <w:rsid w:val="00A269AE"/>
    <w:rsid w:val="00A30128"/>
    <w:rsid w:val="00A471F7"/>
    <w:rsid w:val="00A6505E"/>
    <w:rsid w:val="00A832F2"/>
    <w:rsid w:val="00A930BD"/>
    <w:rsid w:val="00AD1140"/>
    <w:rsid w:val="00B4041A"/>
    <w:rsid w:val="00B42CBA"/>
    <w:rsid w:val="00B43164"/>
    <w:rsid w:val="00B50E23"/>
    <w:rsid w:val="00BA067F"/>
    <w:rsid w:val="00BA48CD"/>
    <w:rsid w:val="00BC6606"/>
    <w:rsid w:val="00BD1B95"/>
    <w:rsid w:val="00BF490E"/>
    <w:rsid w:val="00C267E9"/>
    <w:rsid w:val="00C47775"/>
    <w:rsid w:val="00C55D7D"/>
    <w:rsid w:val="00CD08C8"/>
    <w:rsid w:val="00CD62AC"/>
    <w:rsid w:val="00CE6652"/>
    <w:rsid w:val="00CE72EE"/>
    <w:rsid w:val="00CF2521"/>
    <w:rsid w:val="00CF6D7A"/>
    <w:rsid w:val="00D252EC"/>
    <w:rsid w:val="00D36494"/>
    <w:rsid w:val="00D72503"/>
    <w:rsid w:val="00D7743F"/>
    <w:rsid w:val="00D9145D"/>
    <w:rsid w:val="00E05852"/>
    <w:rsid w:val="00E06CFD"/>
    <w:rsid w:val="00E154E3"/>
    <w:rsid w:val="00E2605C"/>
    <w:rsid w:val="00E72B41"/>
    <w:rsid w:val="00E91619"/>
    <w:rsid w:val="00EB059B"/>
    <w:rsid w:val="00EB55E2"/>
    <w:rsid w:val="00EC1587"/>
    <w:rsid w:val="00EE4BC4"/>
    <w:rsid w:val="00EE6755"/>
    <w:rsid w:val="00EF23B2"/>
    <w:rsid w:val="00F00930"/>
    <w:rsid w:val="00F709CD"/>
    <w:rsid w:val="00F87F99"/>
    <w:rsid w:val="00FA6863"/>
    <w:rsid w:val="00FD653C"/>
    <w:rsid w:val="00FE5232"/>
    <w:rsid w:val="00FE693F"/>
    <w:rsid w:val="00FF000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9B15F"/>
  <w15:chartTrackingRefBased/>
  <w15:docId w15:val="{7E07893A-5341-47C6-BACF-5DB77927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0" w:qFormat="1"/>
    <w:lsdException w:name="annotation text" w:semiHidden="1"/>
    <w:lsdException w:name="header" w:uiPriority="0"/>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uiPriority="0"/>
    <w:lsdException w:name="annotation reference" w:semiHidden="1"/>
    <w:lsdException w:name="line number" w:semiHidden="1"/>
    <w:lsdException w:name="endnote reference" w:uiPriority="0"/>
    <w:lsdException w:name="endnote text" w:uiPriority="0"/>
    <w:lsdException w:name="table of authorities" w:semiHidden="1"/>
    <w:lsdException w:name="macro" w:semiHidden="1"/>
    <w:lsdException w:name="toa heading" w:semiHidden="1"/>
    <w:lsdException w:name="List" w:semiHidden="1"/>
    <w:lsdException w:name="List Bullet" w:uiPriority="0" w:qFormat="1"/>
    <w:lsdException w:name="List Number" w:uiPriority="0"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uiPriority="0" w:qFormat="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uiPriority="0" w:qFormat="1"/>
    <w:lsdException w:name="Body Text Indent"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lsdException w:name="Salutation"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0"/>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rsid w:val="00A930BD"/>
    <w:pPr>
      <w:spacing w:after="240" w:line="240" w:lineRule="auto"/>
    </w:pPr>
  </w:style>
  <w:style w:type="paragraph" w:styleId="Heading1">
    <w:name w:val="heading 1"/>
    <w:next w:val="BodyText"/>
    <w:link w:val="Heading1Char"/>
    <w:qFormat/>
    <w:rsid w:val="007718BA"/>
    <w:pPr>
      <w:keepNext/>
      <w:keepLines/>
      <w:pageBreakBefore/>
      <w:tabs>
        <w:tab w:val="left" w:pos="737"/>
      </w:tabs>
      <w:spacing w:after="360" w:line="240" w:lineRule="auto"/>
      <w:outlineLvl w:val="0"/>
    </w:pPr>
    <w:rPr>
      <w:rFonts w:asciiTheme="majorHAnsi" w:eastAsiaTheme="majorEastAsia" w:hAnsiTheme="majorHAnsi" w:cstheme="majorBidi"/>
      <w:b/>
      <w:sz w:val="44"/>
      <w:szCs w:val="32"/>
    </w:rPr>
  </w:style>
  <w:style w:type="paragraph" w:styleId="Heading2">
    <w:name w:val="heading 2"/>
    <w:basedOn w:val="Heading1"/>
    <w:next w:val="BodyText"/>
    <w:link w:val="Heading2Char"/>
    <w:qFormat/>
    <w:rsid w:val="007718BA"/>
    <w:pPr>
      <w:pageBreakBefore w:val="0"/>
      <w:numPr>
        <w:ilvl w:val="1"/>
      </w:numPr>
      <w:spacing w:before="240" w:after="120"/>
      <w:outlineLvl w:val="1"/>
    </w:pPr>
    <w:rPr>
      <w:sz w:val="32"/>
      <w:szCs w:val="26"/>
    </w:rPr>
  </w:style>
  <w:style w:type="paragraph" w:styleId="Heading3">
    <w:name w:val="heading 3"/>
    <w:basedOn w:val="Heading2"/>
    <w:next w:val="BodyText"/>
    <w:link w:val="Heading3Char"/>
    <w:qFormat/>
    <w:rsid w:val="007718BA"/>
    <w:pPr>
      <w:numPr>
        <w:ilvl w:val="2"/>
      </w:numPr>
      <w:outlineLvl w:val="2"/>
    </w:pPr>
    <w:rPr>
      <w:sz w:val="24"/>
      <w:szCs w:val="24"/>
    </w:rPr>
  </w:style>
  <w:style w:type="paragraph" w:styleId="Heading4">
    <w:name w:val="heading 4"/>
    <w:next w:val="BodyText"/>
    <w:link w:val="Heading4Char"/>
    <w:qFormat/>
    <w:rsid w:val="00CD08C8"/>
    <w:pPr>
      <w:numPr>
        <w:ilvl w:val="3"/>
      </w:numPr>
      <w:spacing w:after="120"/>
      <w:ind w:left="737" w:hanging="737"/>
      <w:outlineLvl w:val="3"/>
    </w:pPr>
    <w:rPr>
      <w:rFonts w:asciiTheme="majorHAnsi" w:eastAsiaTheme="majorEastAsia" w:hAnsiTheme="majorHAnsi" w:cstheme="majorBidi"/>
      <w:b/>
      <w:iCs/>
      <w:szCs w:val="32"/>
    </w:rPr>
  </w:style>
  <w:style w:type="paragraph" w:styleId="Heading5">
    <w:name w:val="heading 5"/>
    <w:basedOn w:val="Normal"/>
    <w:next w:val="Normal"/>
    <w:link w:val="Heading5Char"/>
    <w:uiPriority w:val="99"/>
    <w:semiHidden/>
    <w:qFormat/>
    <w:rsid w:val="00BF490E"/>
    <w:pPr>
      <w:keepNext/>
      <w:keepLines/>
      <w:numPr>
        <w:ilvl w:val="4"/>
        <w:numId w:val="5"/>
      </w:numPr>
      <w:spacing w:before="40" w:after="0"/>
      <w:outlineLvl w:val="4"/>
    </w:pPr>
    <w:rPr>
      <w:rFonts w:asciiTheme="majorHAnsi" w:eastAsiaTheme="majorEastAsia" w:hAnsiTheme="majorHAnsi" w:cstheme="majorBidi"/>
      <w:color w:val="4D9800" w:themeColor="accent1" w:themeShade="BF"/>
    </w:rPr>
  </w:style>
  <w:style w:type="paragraph" w:styleId="Heading6">
    <w:name w:val="heading 6"/>
    <w:basedOn w:val="Normal"/>
    <w:next w:val="Normal"/>
    <w:link w:val="Heading6Char"/>
    <w:uiPriority w:val="99"/>
    <w:semiHidden/>
    <w:qFormat/>
    <w:rsid w:val="00BF490E"/>
    <w:pPr>
      <w:keepNext/>
      <w:keepLines/>
      <w:numPr>
        <w:ilvl w:val="5"/>
        <w:numId w:val="5"/>
      </w:numPr>
      <w:spacing w:before="40" w:after="0"/>
      <w:outlineLvl w:val="5"/>
    </w:pPr>
    <w:rPr>
      <w:rFonts w:asciiTheme="majorHAnsi" w:eastAsiaTheme="majorEastAsia" w:hAnsiTheme="majorHAnsi" w:cstheme="majorBidi"/>
      <w:color w:val="336500" w:themeColor="accent1" w:themeShade="7F"/>
    </w:rPr>
  </w:style>
  <w:style w:type="paragraph" w:styleId="Heading7">
    <w:name w:val="heading 7"/>
    <w:basedOn w:val="Normal"/>
    <w:next w:val="Normal"/>
    <w:link w:val="Heading7Char"/>
    <w:uiPriority w:val="99"/>
    <w:semiHidden/>
    <w:qFormat/>
    <w:rsid w:val="00BF490E"/>
    <w:pPr>
      <w:keepNext/>
      <w:keepLines/>
      <w:numPr>
        <w:ilvl w:val="6"/>
        <w:numId w:val="5"/>
      </w:numPr>
      <w:spacing w:before="40" w:after="0"/>
      <w:outlineLvl w:val="6"/>
    </w:pPr>
    <w:rPr>
      <w:rFonts w:asciiTheme="majorHAnsi" w:eastAsiaTheme="majorEastAsia" w:hAnsiTheme="majorHAnsi" w:cstheme="majorBidi"/>
      <w:i/>
      <w:iCs/>
      <w:color w:val="336500" w:themeColor="accent1" w:themeShade="7F"/>
    </w:rPr>
  </w:style>
  <w:style w:type="paragraph" w:styleId="Heading8">
    <w:name w:val="heading 8"/>
    <w:basedOn w:val="Normal"/>
    <w:next w:val="Normal"/>
    <w:link w:val="Heading8Char"/>
    <w:uiPriority w:val="99"/>
    <w:semiHidden/>
    <w:qFormat/>
    <w:rsid w:val="00BF490E"/>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qFormat/>
    <w:rsid w:val="00BF490E"/>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0B089B"/>
    <w:pPr>
      <w:spacing w:after="240" w:line="240" w:lineRule="auto"/>
    </w:pPr>
    <w:rPr>
      <w:sz w:val="24"/>
    </w:rPr>
  </w:style>
  <w:style w:type="character" w:customStyle="1" w:styleId="BodyTextChar">
    <w:name w:val="Body Text Char"/>
    <w:basedOn w:val="DefaultParagraphFont"/>
    <w:link w:val="BodyText"/>
    <w:uiPriority w:val="1"/>
    <w:rsid w:val="000B089B"/>
    <w:rPr>
      <w:sz w:val="24"/>
    </w:rPr>
  </w:style>
  <w:style w:type="paragraph" w:styleId="BodyTextIndent">
    <w:name w:val="Body Text Indent"/>
    <w:basedOn w:val="BodyText"/>
    <w:link w:val="BodyTextIndentChar"/>
    <w:uiPriority w:val="1"/>
    <w:qFormat/>
    <w:rsid w:val="00FA6863"/>
    <w:pPr>
      <w:ind w:left="454"/>
    </w:pPr>
  </w:style>
  <w:style w:type="character" w:customStyle="1" w:styleId="BodyTextIndentChar">
    <w:name w:val="Body Text Indent Char"/>
    <w:basedOn w:val="DefaultParagraphFont"/>
    <w:link w:val="BodyTextIndent"/>
    <w:uiPriority w:val="1"/>
    <w:rsid w:val="00410CF0"/>
    <w:rPr>
      <w:sz w:val="24"/>
    </w:rPr>
  </w:style>
  <w:style w:type="paragraph" w:styleId="Date">
    <w:name w:val="Date"/>
    <w:basedOn w:val="BodyText"/>
    <w:next w:val="BodyText"/>
    <w:link w:val="DateChar"/>
    <w:uiPriority w:val="99"/>
    <w:semiHidden/>
    <w:rsid w:val="004305E5"/>
    <w:pPr>
      <w:ind w:left="170"/>
    </w:pPr>
    <w:rPr>
      <w:sz w:val="36"/>
    </w:rPr>
  </w:style>
  <w:style w:type="character" w:customStyle="1" w:styleId="DateChar">
    <w:name w:val="Date Char"/>
    <w:basedOn w:val="DefaultParagraphFont"/>
    <w:link w:val="Date"/>
    <w:uiPriority w:val="99"/>
    <w:semiHidden/>
    <w:rsid w:val="00536576"/>
    <w:rPr>
      <w:sz w:val="36"/>
    </w:rPr>
  </w:style>
  <w:style w:type="character" w:styleId="EndnoteReference">
    <w:name w:val="endnote reference"/>
    <w:basedOn w:val="FootnoteReference"/>
    <w:uiPriority w:val="99"/>
    <w:semiHidden/>
    <w:rsid w:val="00C267E9"/>
    <w:rPr>
      <w:vertAlign w:val="superscript"/>
    </w:rPr>
  </w:style>
  <w:style w:type="paragraph" w:styleId="EndnoteText">
    <w:name w:val="endnote text"/>
    <w:basedOn w:val="FootnoteText"/>
    <w:link w:val="EndnoteTextChar"/>
    <w:uiPriority w:val="99"/>
    <w:semiHidden/>
    <w:rsid w:val="00FA6863"/>
  </w:style>
  <w:style w:type="character" w:styleId="FootnoteReference">
    <w:name w:val="footnote reference"/>
    <w:uiPriority w:val="99"/>
    <w:semiHidden/>
    <w:rsid w:val="00C267E9"/>
    <w:rPr>
      <w:vertAlign w:val="superscript"/>
    </w:rPr>
  </w:style>
  <w:style w:type="character" w:customStyle="1" w:styleId="EndnoteTextChar">
    <w:name w:val="Endnote Text Char"/>
    <w:basedOn w:val="DefaultParagraphFont"/>
    <w:link w:val="EndnoteText"/>
    <w:uiPriority w:val="99"/>
    <w:semiHidden/>
    <w:rsid w:val="00536576"/>
    <w:rPr>
      <w:sz w:val="20"/>
      <w:szCs w:val="20"/>
    </w:rPr>
  </w:style>
  <w:style w:type="paragraph" w:styleId="Footer">
    <w:name w:val="footer"/>
    <w:basedOn w:val="BodyText"/>
    <w:link w:val="FooterChar"/>
    <w:uiPriority w:val="99"/>
    <w:rsid w:val="000C5855"/>
    <w:pPr>
      <w:spacing w:after="0"/>
    </w:pPr>
    <w:rPr>
      <w:sz w:val="20"/>
    </w:rPr>
  </w:style>
  <w:style w:type="paragraph" w:styleId="FootnoteText">
    <w:name w:val="footnote text"/>
    <w:basedOn w:val="BodyText"/>
    <w:link w:val="FootnoteTextChar"/>
    <w:uiPriority w:val="2"/>
    <w:qFormat/>
    <w:rsid w:val="00C267E9"/>
    <w:pPr>
      <w:spacing w:after="0"/>
      <w:ind w:left="357" w:hanging="357"/>
    </w:pPr>
    <w:rPr>
      <w:sz w:val="20"/>
      <w:szCs w:val="20"/>
    </w:rPr>
  </w:style>
  <w:style w:type="character" w:customStyle="1" w:styleId="FootnoteTextChar">
    <w:name w:val="Footnote Text Char"/>
    <w:basedOn w:val="DefaultParagraphFont"/>
    <w:link w:val="FootnoteText"/>
    <w:uiPriority w:val="2"/>
    <w:rsid w:val="00410CF0"/>
    <w:rPr>
      <w:sz w:val="20"/>
      <w:szCs w:val="20"/>
    </w:rPr>
  </w:style>
  <w:style w:type="character" w:customStyle="1" w:styleId="FooterChar">
    <w:name w:val="Footer Char"/>
    <w:basedOn w:val="DefaultParagraphFont"/>
    <w:link w:val="Footer"/>
    <w:uiPriority w:val="99"/>
    <w:rsid w:val="000C5855"/>
    <w:rPr>
      <w:sz w:val="20"/>
    </w:rPr>
  </w:style>
  <w:style w:type="character" w:styleId="FollowedHyperlink">
    <w:name w:val="FollowedHyperlink"/>
    <w:uiPriority w:val="99"/>
    <w:semiHidden/>
    <w:rsid w:val="00C47775"/>
    <w:rPr>
      <w:color w:val="auto"/>
      <w:u w:val="single"/>
    </w:rPr>
  </w:style>
  <w:style w:type="character" w:styleId="Hyperlink">
    <w:name w:val="Hyperlink"/>
    <w:uiPriority w:val="99"/>
    <w:rsid w:val="00C47775"/>
    <w:rPr>
      <w:color w:val="auto"/>
      <w:u w:val="single"/>
    </w:rPr>
  </w:style>
  <w:style w:type="paragraph" w:styleId="Header">
    <w:name w:val="header"/>
    <w:basedOn w:val="BodyText"/>
    <w:link w:val="HeaderChar"/>
    <w:uiPriority w:val="99"/>
    <w:rsid w:val="007035BF"/>
    <w:pPr>
      <w:spacing w:after="0"/>
    </w:pPr>
    <w:rPr>
      <w:sz w:val="18"/>
    </w:rPr>
  </w:style>
  <w:style w:type="character" w:customStyle="1" w:styleId="HeaderChar">
    <w:name w:val="Header Char"/>
    <w:basedOn w:val="DefaultParagraphFont"/>
    <w:link w:val="Header"/>
    <w:uiPriority w:val="99"/>
    <w:rsid w:val="000C5855"/>
    <w:rPr>
      <w:sz w:val="18"/>
    </w:rPr>
  </w:style>
  <w:style w:type="character" w:customStyle="1" w:styleId="Heading1Char">
    <w:name w:val="Heading 1 Char"/>
    <w:basedOn w:val="DefaultParagraphFont"/>
    <w:link w:val="Heading1"/>
    <w:rsid w:val="007718BA"/>
    <w:rPr>
      <w:rFonts w:asciiTheme="majorHAnsi" w:eastAsiaTheme="majorEastAsia" w:hAnsiTheme="majorHAnsi" w:cstheme="majorBidi"/>
      <w:b/>
      <w:sz w:val="44"/>
      <w:szCs w:val="32"/>
    </w:rPr>
  </w:style>
  <w:style w:type="character" w:customStyle="1" w:styleId="Heading2Char">
    <w:name w:val="Heading 2 Char"/>
    <w:basedOn w:val="DefaultParagraphFont"/>
    <w:link w:val="Heading2"/>
    <w:rsid w:val="007718BA"/>
    <w:rPr>
      <w:rFonts w:asciiTheme="majorHAnsi" w:eastAsiaTheme="majorEastAsia" w:hAnsiTheme="majorHAnsi" w:cstheme="majorBidi"/>
      <w:b/>
      <w:sz w:val="32"/>
      <w:szCs w:val="26"/>
    </w:rPr>
  </w:style>
  <w:style w:type="character" w:customStyle="1" w:styleId="Heading3Char">
    <w:name w:val="Heading 3 Char"/>
    <w:basedOn w:val="DefaultParagraphFont"/>
    <w:link w:val="Heading3"/>
    <w:rsid w:val="007718BA"/>
    <w:rPr>
      <w:rFonts w:asciiTheme="majorHAnsi" w:eastAsiaTheme="majorEastAsia" w:hAnsiTheme="majorHAnsi" w:cstheme="majorBidi"/>
      <w:b/>
      <w:sz w:val="24"/>
      <w:szCs w:val="24"/>
    </w:rPr>
  </w:style>
  <w:style w:type="character" w:customStyle="1" w:styleId="Heading4Char">
    <w:name w:val="Heading 4 Char"/>
    <w:basedOn w:val="DefaultParagraphFont"/>
    <w:link w:val="Heading4"/>
    <w:rsid w:val="00CD08C8"/>
    <w:rPr>
      <w:rFonts w:asciiTheme="majorHAnsi" w:eastAsiaTheme="majorEastAsia" w:hAnsiTheme="majorHAnsi" w:cstheme="majorBidi"/>
      <w:b/>
      <w:iCs/>
      <w:szCs w:val="32"/>
    </w:rPr>
  </w:style>
  <w:style w:type="paragraph" w:styleId="ListBullet">
    <w:name w:val="List Bullet"/>
    <w:basedOn w:val="BodyText"/>
    <w:uiPriority w:val="1"/>
    <w:qFormat/>
    <w:rsid w:val="00FA6863"/>
    <w:pPr>
      <w:numPr>
        <w:numId w:val="1"/>
      </w:numPr>
      <w:contextualSpacing/>
    </w:pPr>
  </w:style>
  <w:style w:type="paragraph" w:styleId="ListBullet2">
    <w:name w:val="List Bullet 2"/>
    <w:basedOn w:val="BodyText"/>
    <w:uiPriority w:val="1"/>
    <w:qFormat/>
    <w:rsid w:val="00FA6863"/>
    <w:pPr>
      <w:numPr>
        <w:numId w:val="2"/>
      </w:numPr>
      <w:contextualSpacing/>
    </w:pPr>
  </w:style>
  <w:style w:type="paragraph" w:styleId="ListNumber">
    <w:name w:val="List Number"/>
    <w:basedOn w:val="BodyText"/>
    <w:uiPriority w:val="1"/>
    <w:qFormat/>
    <w:rsid w:val="00CE72EE"/>
    <w:pPr>
      <w:numPr>
        <w:numId w:val="3"/>
      </w:numPr>
    </w:pPr>
  </w:style>
  <w:style w:type="paragraph" w:styleId="Subtitle">
    <w:name w:val="Subtitle"/>
    <w:basedOn w:val="Title"/>
    <w:next w:val="Date"/>
    <w:link w:val="SubtitleChar"/>
    <w:uiPriority w:val="99"/>
    <w:semiHidden/>
    <w:rsid w:val="004305E5"/>
    <w:pPr>
      <w:numPr>
        <w:ilvl w:val="1"/>
      </w:numPr>
      <w:ind w:left="170"/>
    </w:pPr>
    <w:rPr>
      <w:rFonts w:eastAsiaTheme="minorEastAsia"/>
      <w:b w:val="0"/>
    </w:rPr>
  </w:style>
  <w:style w:type="character" w:customStyle="1" w:styleId="SubtitleChar">
    <w:name w:val="Subtitle Char"/>
    <w:basedOn w:val="DefaultParagraphFont"/>
    <w:link w:val="Subtitle"/>
    <w:uiPriority w:val="99"/>
    <w:semiHidden/>
    <w:rsid w:val="00410CF0"/>
    <w:rPr>
      <w:rFonts w:asciiTheme="majorHAnsi" w:eastAsiaTheme="minorEastAsia" w:hAnsiTheme="majorHAnsi" w:cstheme="majorBidi"/>
      <w:color w:val="68CC00" w:themeColor="accent1"/>
      <w:sz w:val="80"/>
      <w:szCs w:val="56"/>
    </w:rPr>
  </w:style>
  <w:style w:type="paragraph" w:styleId="TOC1">
    <w:name w:val="toc 1"/>
    <w:aliases w:val="ToC 1 - Table of Contents"/>
    <w:basedOn w:val="BodyText"/>
    <w:next w:val="BodyText"/>
    <w:uiPriority w:val="39"/>
    <w:rsid w:val="008777C7"/>
    <w:pPr>
      <w:tabs>
        <w:tab w:val="left" w:pos="737"/>
        <w:tab w:val="right" w:pos="10149"/>
      </w:tabs>
      <w:spacing w:before="240" w:after="120"/>
      <w:ind w:left="737" w:hanging="737"/>
    </w:pPr>
    <w:rPr>
      <w:b/>
    </w:rPr>
  </w:style>
  <w:style w:type="paragraph" w:styleId="Title">
    <w:name w:val="Title"/>
    <w:next w:val="BodyText"/>
    <w:link w:val="TitleChar"/>
    <w:uiPriority w:val="99"/>
    <w:semiHidden/>
    <w:rsid w:val="00C47775"/>
    <w:pPr>
      <w:spacing w:after="120" w:line="240" w:lineRule="auto"/>
      <w:ind w:left="170"/>
    </w:pPr>
    <w:rPr>
      <w:rFonts w:asciiTheme="majorHAnsi" w:eastAsiaTheme="majorEastAsia" w:hAnsiTheme="majorHAnsi" w:cstheme="majorBidi"/>
      <w:b/>
      <w:sz w:val="80"/>
      <w:szCs w:val="56"/>
    </w:rPr>
  </w:style>
  <w:style w:type="character" w:customStyle="1" w:styleId="TitleChar">
    <w:name w:val="Title Char"/>
    <w:basedOn w:val="DefaultParagraphFont"/>
    <w:link w:val="Title"/>
    <w:uiPriority w:val="99"/>
    <w:semiHidden/>
    <w:rsid w:val="00C47775"/>
    <w:rPr>
      <w:rFonts w:asciiTheme="majorHAnsi" w:eastAsiaTheme="majorEastAsia" w:hAnsiTheme="majorHAnsi" w:cstheme="majorBidi"/>
      <w:b/>
      <w:sz w:val="80"/>
      <w:szCs w:val="56"/>
    </w:rPr>
  </w:style>
  <w:style w:type="paragraph" w:styleId="TOC2">
    <w:name w:val="toc 2"/>
    <w:aliases w:val="ToC 2 - Table of Contents"/>
    <w:basedOn w:val="TOC1"/>
    <w:next w:val="BodyText"/>
    <w:uiPriority w:val="39"/>
    <w:rsid w:val="000377E5"/>
    <w:pPr>
      <w:spacing w:before="0"/>
    </w:pPr>
    <w:rPr>
      <w:b w:val="0"/>
    </w:rPr>
  </w:style>
  <w:style w:type="paragraph" w:styleId="TOCHeading">
    <w:name w:val="TOC Heading"/>
    <w:basedOn w:val="Heading1"/>
    <w:next w:val="BodyText"/>
    <w:uiPriority w:val="99"/>
    <w:semiHidden/>
    <w:rsid w:val="00015341"/>
    <w:pPr>
      <w:pageBreakBefore w:val="0"/>
      <w:outlineLvl w:val="9"/>
    </w:pPr>
  </w:style>
  <w:style w:type="character" w:styleId="PageNumber">
    <w:name w:val="page number"/>
    <w:uiPriority w:val="99"/>
    <w:semiHidden/>
    <w:rsid w:val="007035BF"/>
    <w:rPr>
      <w:b/>
    </w:rPr>
  </w:style>
  <w:style w:type="paragraph" w:customStyle="1" w:styleId="IntroductoryParagraph">
    <w:name w:val="Introductory Paragraph"/>
    <w:basedOn w:val="BodyText"/>
    <w:next w:val="BodyText"/>
    <w:qFormat/>
    <w:rsid w:val="007718BA"/>
    <w:pPr>
      <w:spacing w:after="720"/>
    </w:pPr>
    <w:rPr>
      <w:sz w:val="32"/>
      <w:szCs w:val="32"/>
    </w:rPr>
  </w:style>
  <w:style w:type="character" w:customStyle="1" w:styleId="UnresolvedMention1">
    <w:name w:val="Unresolved Mention1"/>
    <w:basedOn w:val="DefaultParagraphFont"/>
    <w:uiPriority w:val="99"/>
    <w:semiHidden/>
    <w:rsid w:val="00BC6606"/>
    <w:rPr>
      <w:color w:val="808080"/>
      <w:shd w:val="clear" w:color="auto" w:fill="E6E6E6"/>
    </w:rPr>
  </w:style>
  <w:style w:type="paragraph" w:styleId="ListNumber2">
    <w:name w:val="List Number 2"/>
    <w:basedOn w:val="ListNumber"/>
    <w:uiPriority w:val="1"/>
    <w:qFormat/>
    <w:rsid w:val="005047EB"/>
    <w:pPr>
      <w:numPr>
        <w:ilvl w:val="1"/>
      </w:numPr>
    </w:pPr>
  </w:style>
  <w:style w:type="paragraph" w:customStyle="1" w:styleId="Pullquoteauthor">
    <w:name w:val="Pull quote author"/>
    <w:basedOn w:val="BodyText"/>
    <w:next w:val="Pullquotetext"/>
    <w:uiPriority w:val="3"/>
    <w:qFormat/>
    <w:rsid w:val="00477806"/>
    <w:pPr>
      <w:keepNext/>
      <w:keepLines/>
      <w:pBdr>
        <w:top w:val="single" w:sz="48" w:space="6" w:color="FFB700" w:themeColor="accent6"/>
        <w:left w:val="single" w:sz="48" w:space="4" w:color="FFB700" w:themeColor="accent6"/>
        <w:bottom w:val="single" w:sz="48" w:space="6" w:color="FFB700" w:themeColor="accent6"/>
        <w:right w:val="single" w:sz="48" w:space="4" w:color="FFB700" w:themeColor="accent6"/>
      </w:pBdr>
      <w:shd w:val="clear" w:color="auto" w:fill="FFB700" w:themeFill="accent6"/>
      <w:spacing w:before="240" w:after="120"/>
      <w:ind w:left="198"/>
    </w:pPr>
  </w:style>
  <w:style w:type="paragraph" w:customStyle="1" w:styleId="Pullquotetext">
    <w:name w:val="Pull quote text"/>
    <w:basedOn w:val="BodyText"/>
    <w:uiPriority w:val="3"/>
    <w:qFormat/>
    <w:rsid w:val="00477806"/>
    <w:pPr>
      <w:keepLines/>
      <w:pBdr>
        <w:top w:val="single" w:sz="48" w:space="6" w:color="FFB700" w:themeColor="accent6"/>
        <w:left w:val="single" w:sz="48" w:space="4" w:color="FFB700" w:themeColor="accent6"/>
        <w:bottom w:val="single" w:sz="48" w:space="6" w:color="FFB700" w:themeColor="accent6"/>
        <w:right w:val="single" w:sz="48" w:space="4" w:color="FFB700" w:themeColor="accent6"/>
      </w:pBdr>
      <w:shd w:val="clear" w:color="auto" w:fill="FFB700" w:themeFill="accent6"/>
      <w:ind w:left="198"/>
    </w:pPr>
    <w:rPr>
      <w:b/>
      <w:sz w:val="28"/>
    </w:rPr>
  </w:style>
  <w:style w:type="table" w:styleId="TableGrid">
    <w:name w:val="Table Grid"/>
    <w:basedOn w:val="TableNormal"/>
    <w:uiPriority w:val="39"/>
    <w:rsid w:val="00C47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pPr>
        <w:keepNext/>
        <w:keepLines/>
        <w:widowControl/>
        <w:wordWrap/>
      </w:pPr>
      <w:rPr>
        <w:b/>
        <w:color w:val="FFFFFF" w:themeColor="background1"/>
      </w:rPr>
      <w:tblPr/>
      <w:tcPr>
        <w:shd w:val="clear" w:color="auto" w:fill="000000" w:themeFill="text1"/>
      </w:tcPr>
    </w:tblStylePr>
    <w:tblStylePr w:type="firstCol">
      <w:rPr>
        <w:b/>
        <w:i w:val="0"/>
      </w:rPr>
    </w:tblStylePr>
  </w:style>
  <w:style w:type="paragraph" w:customStyle="1" w:styleId="TableHeading">
    <w:name w:val="Table Heading"/>
    <w:basedOn w:val="BodyText"/>
    <w:uiPriority w:val="3"/>
    <w:qFormat/>
    <w:rsid w:val="0095711B"/>
    <w:pPr>
      <w:keepNext/>
      <w:keepLines/>
      <w:spacing w:after="0"/>
    </w:pPr>
    <w:rPr>
      <w:b/>
    </w:rPr>
  </w:style>
  <w:style w:type="paragraph" w:customStyle="1" w:styleId="TableText">
    <w:name w:val="Table Text"/>
    <w:basedOn w:val="BodyText"/>
    <w:uiPriority w:val="3"/>
    <w:qFormat/>
    <w:rsid w:val="00E05852"/>
    <w:pPr>
      <w:spacing w:after="0"/>
    </w:pPr>
  </w:style>
  <w:style w:type="character" w:customStyle="1" w:styleId="Heading5Char">
    <w:name w:val="Heading 5 Char"/>
    <w:basedOn w:val="DefaultParagraphFont"/>
    <w:link w:val="Heading5"/>
    <w:uiPriority w:val="99"/>
    <w:semiHidden/>
    <w:rsid w:val="00BF490E"/>
    <w:rPr>
      <w:rFonts w:asciiTheme="majorHAnsi" w:eastAsiaTheme="majorEastAsia" w:hAnsiTheme="majorHAnsi" w:cstheme="majorBidi"/>
      <w:color w:val="4D9800" w:themeColor="accent1" w:themeShade="BF"/>
    </w:rPr>
  </w:style>
  <w:style w:type="character" w:customStyle="1" w:styleId="Heading6Char">
    <w:name w:val="Heading 6 Char"/>
    <w:basedOn w:val="DefaultParagraphFont"/>
    <w:link w:val="Heading6"/>
    <w:uiPriority w:val="99"/>
    <w:semiHidden/>
    <w:rsid w:val="00BF490E"/>
    <w:rPr>
      <w:rFonts w:asciiTheme="majorHAnsi" w:eastAsiaTheme="majorEastAsia" w:hAnsiTheme="majorHAnsi" w:cstheme="majorBidi"/>
      <w:color w:val="336500" w:themeColor="accent1" w:themeShade="7F"/>
    </w:rPr>
  </w:style>
  <w:style w:type="character" w:customStyle="1" w:styleId="Heading7Char">
    <w:name w:val="Heading 7 Char"/>
    <w:basedOn w:val="DefaultParagraphFont"/>
    <w:link w:val="Heading7"/>
    <w:uiPriority w:val="99"/>
    <w:semiHidden/>
    <w:rsid w:val="00BF490E"/>
    <w:rPr>
      <w:rFonts w:asciiTheme="majorHAnsi" w:eastAsiaTheme="majorEastAsia" w:hAnsiTheme="majorHAnsi" w:cstheme="majorBidi"/>
      <w:i/>
      <w:iCs/>
      <w:color w:val="336500" w:themeColor="accent1" w:themeShade="7F"/>
    </w:rPr>
  </w:style>
  <w:style w:type="character" w:customStyle="1" w:styleId="Heading8Char">
    <w:name w:val="Heading 8 Char"/>
    <w:basedOn w:val="DefaultParagraphFont"/>
    <w:link w:val="Heading8"/>
    <w:uiPriority w:val="99"/>
    <w:semiHidden/>
    <w:rsid w:val="00BF490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BF490E"/>
    <w:rPr>
      <w:rFonts w:asciiTheme="majorHAnsi" w:eastAsiaTheme="majorEastAsia" w:hAnsiTheme="majorHAnsi" w:cstheme="majorBidi"/>
      <w:i/>
      <w:iCs/>
      <w:color w:val="272727" w:themeColor="text1" w:themeTint="D8"/>
      <w:sz w:val="21"/>
      <w:szCs w:val="21"/>
    </w:rPr>
  </w:style>
  <w:style w:type="paragraph" w:customStyle="1" w:styleId="EmphasisHeadingstyle">
    <w:name w:val="Emphasis Heading style"/>
    <w:basedOn w:val="Pullquotetext"/>
    <w:uiPriority w:val="99"/>
    <w:rsid w:val="00B42CBA"/>
  </w:style>
  <w:style w:type="paragraph" w:customStyle="1" w:styleId="Figureheading">
    <w:name w:val="Figure heading"/>
    <w:basedOn w:val="BodyText"/>
    <w:uiPriority w:val="99"/>
    <w:rsid w:val="00FE5232"/>
    <w:rPr>
      <w:b/>
      <w:bCs/>
    </w:rPr>
  </w:style>
  <w:style w:type="paragraph" w:styleId="BalloonText">
    <w:name w:val="Balloon Text"/>
    <w:basedOn w:val="Normal"/>
    <w:link w:val="BalloonTextChar"/>
    <w:uiPriority w:val="99"/>
    <w:semiHidden/>
    <w:unhideWhenUsed/>
    <w:rsid w:val="00F709C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9CD"/>
    <w:rPr>
      <w:rFonts w:ascii="Segoe UI" w:hAnsi="Segoe UI" w:cs="Segoe UI"/>
      <w:sz w:val="18"/>
      <w:szCs w:val="18"/>
    </w:rPr>
  </w:style>
  <w:style w:type="paragraph" w:customStyle="1" w:styleId="TableText-ListLettered">
    <w:name w:val="Table Text - List Lettered"/>
    <w:uiPriority w:val="99"/>
    <w:rsid w:val="00081F2D"/>
    <w:pPr>
      <w:numPr>
        <w:numId w:val="10"/>
      </w:numPr>
      <w:ind w:left="357" w:hanging="357"/>
    </w:pPr>
    <w:rPr>
      <w:sz w:val="24"/>
    </w:rPr>
  </w:style>
  <w:style w:type="paragraph" w:customStyle="1" w:styleId="ListBulletunderNumber">
    <w:name w:val="List Bullet under Number"/>
    <w:basedOn w:val="ListBullet2"/>
    <w:uiPriority w:val="99"/>
    <w:rsid w:val="00BD1B95"/>
  </w:style>
  <w:style w:type="paragraph" w:customStyle="1" w:styleId="ListLettered">
    <w:name w:val="List Lettered"/>
    <w:uiPriority w:val="99"/>
    <w:rsid w:val="00BD1B95"/>
    <w:pPr>
      <w:numPr>
        <w:numId w:val="14"/>
      </w:numPr>
      <w:ind w:left="454" w:hanging="454"/>
    </w:pPr>
    <w:rPr>
      <w:sz w:val="24"/>
    </w:rPr>
  </w:style>
  <w:style w:type="paragraph" w:customStyle="1" w:styleId="ReportTitle">
    <w:name w:val="Report Title"/>
    <w:basedOn w:val="Title"/>
    <w:uiPriority w:val="99"/>
    <w:rsid w:val="008835BA"/>
    <w:pPr>
      <w:keepNext/>
      <w:keepLines/>
      <w:ind w:left="0" w:right="1701"/>
      <w:outlineLvl w:val="0"/>
    </w:pPr>
    <w:rPr>
      <w:bCs/>
      <w:color w:val="000000" w:themeColor="text1"/>
      <w:sz w:val="68"/>
      <w:szCs w:val="68"/>
    </w:rPr>
  </w:style>
  <w:style w:type="paragraph" w:customStyle="1" w:styleId="ReportSubtitle">
    <w:name w:val="Report Subtitle"/>
    <w:basedOn w:val="Subtitle"/>
    <w:uiPriority w:val="99"/>
    <w:rsid w:val="008835BA"/>
    <w:pPr>
      <w:keepNext/>
      <w:keepLines/>
      <w:spacing w:after="240"/>
      <w:ind w:left="0" w:right="1701"/>
      <w:outlineLvl w:val="1"/>
    </w:pPr>
    <w:rPr>
      <w:color w:val="000000" w:themeColor="text1"/>
      <w:sz w:val="56"/>
    </w:rPr>
  </w:style>
  <w:style w:type="paragraph" w:customStyle="1" w:styleId="ReportPublicationDate">
    <w:name w:val="Report Publication Date"/>
    <w:basedOn w:val="Date"/>
    <w:uiPriority w:val="99"/>
    <w:rsid w:val="00A0433C"/>
    <w:pPr>
      <w:keepNext/>
      <w:keepLines/>
      <w:ind w:left="0"/>
    </w:pPr>
    <w:rPr>
      <w:color w:val="000000" w:themeColor="text1"/>
    </w:rPr>
  </w:style>
  <w:style w:type="paragraph" w:customStyle="1" w:styleId="Emphasistextstyle">
    <w:name w:val="Emphasis text style"/>
    <w:basedOn w:val="Pullquoteauthor"/>
    <w:uiPriority w:val="99"/>
    <w:rsid w:val="00B42CBA"/>
  </w:style>
  <w:style w:type="table" w:styleId="TableGridLight">
    <w:name w:val="Grid Table Light"/>
    <w:basedOn w:val="TableNormal"/>
    <w:uiPriority w:val="40"/>
    <w:rsid w:val="00690A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054343">
      <w:bodyDiv w:val="1"/>
      <w:marLeft w:val="0"/>
      <w:marRight w:val="0"/>
      <w:marTop w:val="0"/>
      <w:marBottom w:val="0"/>
      <w:divBdr>
        <w:top w:val="none" w:sz="0" w:space="0" w:color="auto"/>
        <w:left w:val="none" w:sz="0" w:space="0" w:color="auto"/>
        <w:bottom w:val="none" w:sz="0" w:space="0" w:color="auto"/>
        <w:right w:val="none" w:sz="0" w:space="0" w:color="auto"/>
      </w:divBdr>
    </w:div>
    <w:div w:id="52975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e.martin1\Downloads\Government%20Campus_Accessible%20Word%20documents%20template%20(1).dotx" TargetMode="External"/></Relationships>
</file>

<file path=word/theme/theme1.xml><?xml version="1.0" encoding="utf-8"?>
<a:theme xmlns:a="http://schemas.openxmlformats.org/drawingml/2006/main" name="Office Theme">
  <a:themeElements>
    <a:clrScheme name="Gov Campus">
      <a:dk1>
        <a:sysClr val="windowText" lastClr="000000"/>
      </a:dk1>
      <a:lt1>
        <a:sysClr val="window" lastClr="FFFFFF"/>
      </a:lt1>
      <a:dk2>
        <a:srgbClr val="000000"/>
      </a:dk2>
      <a:lt2>
        <a:srgbClr val="FFFFFF"/>
      </a:lt2>
      <a:accent1>
        <a:srgbClr val="68CC00"/>
      </a:accent1>
      <a:accent2>
        <a:srgbClr val="2FBEFA"/>
      </a:accent2>
      <a:accent3>
        <a:srgbClr val="7E597F"/>
      </a:accent3>
      <a:accent4>
        <a:srgbClr val="E41D7F"/>
      </a:accent4>
      <a:accent5>
        <a:srgbClr val="FF5951"/>
      </a:accent5>
      <a:accent6>
        <a:srgbClr val="FFB700"/>
      </a:accent6>
      <a:hlink>
        <a:srgbClr val="000000"/>
      </a:hlink>
      <a:folHlink>
        <a:srgbClr val="000000"/>
      </a:folHlink>
    </a:clrScheme>
    <a:fontScheme name="HM Governme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AC4AC47EB85744B935CCFFA5970C85" ma:contentTypeVersion="32" ma:contentTypeDescription="Create a new document." ma:contentTypeScope="" ma:versionID="da8392632a1bd7df6d4b4e1ee74c0a79">
  <xsd:schema xmlns:xsd="http://www.w3.org/2001/XMLSchema" xmlns:xs="http://www.w3.org/2001/XMLSchema" xmlns:p="http://schemas.microsoft.com/office/2006/metadata/properties" xmlns:ns2="4f975390-f9f6-4ba3-94bc-05ba840d93f4" xmlns:ns3="36b8d25d-6f1a-4853-a50e-ce920470bfa6" targetNamespace="http://schemas.microsoft.com/office/2006/metadata/properties" ma:root="true" ma:fieldsID="114a4b0f41c3519c3bc4cc7887e662f1" ns2:_="" ns3:_="">
    <xsd:import namespace="4f975390-f9f6-4ba3-94bc-05ba840d93f4"/>
    <xsd:import namespace="36b8d25d-6f1a-4853-a50e-ce920470bfa6"/>
    <xsd:element name="properties">
      <xsd:complexType>
        <xsd:sequence>
          <xsd:element name="documentManagement">
            <xsd:complexType>
              <xsd:all>
                <xsd:element ref="ns2:Customername" minOccurs="0"/>
                <xsd:element ref="ns2:Status" minOccurs="0"/>
                <xsd:element ref="ns2:Clientnumber" minOccurs="0"/>
                <xsd:element ref="ns2:WorkArea" minOccurs="0"/>
                <xsd:element ref="ns2:Studiocountry"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Thumbnail" minOccurs="0"/>
                <xsd:element ref="ns2:Number" minOccurs="0"/>
                <xsd:element ref="ns2:Asset" minOccurs="0"/>
                <xsd:element ref="ns2:Partner" minOccurs="0"/>
                <xsd:element ref="ns2:Date_x002f_Time" minOccurs="0"/>
                <xsd:element ref="ns2:Number0" minOccurs="0"/>
                <xsd:element ref="ns2:Stage" minOccurs="0"/>
                <xsd:element ref="ns2:Video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75390-f9f6-4ba3-94bc-05ba840d93f4" elementFormDefault="qualified">
    <xsd:import namespace="http://schemas.microsoft.com/office/2006/documentManagement/types"/>
    <xsd:import namespace="http://schemas.microsoft.com/office/infopath/2007/PartnerControls"/>
    <xsd:element name="Customername" ma:index="8" nillable="true" ma:displayName="Customer name" ma:format="Dropdown" ma:internalName="Customername">
      <xsd:simpleType>
        <xsd:restriction base="dms:Text">
          <xsd:maxLength value="255"/>
        </xsd:restriction>
      </xsd:simpleType>
    </xsd:element>
    <xsd:element name="Status" ma:index="9" nillable="true" ma:displayName="Status" ma:format="Dropdown" ma:internalName="Status">
      <xsd:simpleType>
        <xsd:union memberTypes="dms:Text">
          <xsd:simpleType>
            <xsd:restriction base="dms:Choice">
              <xsd:enumeration value="Open"/>
              <xsd:enumeration value="Freezed"/>
              <xsd:enumeration value="Submitted"/>
              <xsd:enumeration value="Warranty"/>
              <xsd:enumeration value="Closed"/>
              <xsd:enumeration value="Update Required"/>
              <xsd:enumeration value="Awaiting Client Feedback"/>
              <xsd:enumeration value="No action required"/>
            </xsd:restriction>
          </xsd:simpleType>
        </xsd:union>
      </xsd:simpleType>
    </xsd:element>
    <xsd:element name="Clientnumber" ma:index="10" nillable="true" ma:displayName="Client number" ma:format="Dropdown" ma:internalName="Clientnumber" ma:percentage="FALSE">
      <xsd:simpleType>
        <xsd:restriction base="dms:Number"/>
      </xsd:simpleType>
    </xsd:element>
    <xsd:element name="WorkArea" ma:index="11" nillable="true" ma:displayName="Work Area" ma:description="Identify the area from which teams are working on the projects (Coruna,Ikley, Madrid, Mexico etc.)" ma:format="Dropdown" ma:internalName="WorkArea">
      <xsd:simpleType>
        <xsd:restriction base="dms:Choice">
          <xsd:enumeration value="Coruna"/>
          <xsd:enumeration value="Ilkley"/>
          <xsd:enumeration value="Madrid"/>
          <xsd:enumeration value="Mexico"/>
          <xsd:enumeration value="Ilkley/Coruna"/>
          <xsd:enumeration value="Coruna/Madrid"/>
          <xsd:enumeration value="Coruna/Mexico"/>
          <xsd:enumeration value="Madrid/Ilkley"/>
          <xsd:enumeration value="Coruna/Mexico/Ilkley"/>
          <xsd:enumeration value="Coruna/Ilkley/Madrid"/>
        </xsd:restriction>
      </xsd:simpleType>
    </xsd:element>
    <xsd:element name="Studiocountry" ma:index="12" nillable="true" ma:displayName="Studio country" ma:description="Identify the area from which office is the projects (ES, UK, MX, etc.)" ma:format="Dropdown" ma:internalName="Studiocountry">
      <xsd:simpleType>
        <xsd:restriction base="dms:Choice">
          <xsd:enumeration value="UK"/>
          <xsd:enumeration value="ES"/>
          <xsd:enumeration value="MX"/>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cca0b91-d8a9-4fcf-9a6a-9522f7785492"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element name="Thumbnail" ma:index="28" nillable="true" ma:displayName="Thumbnail" ma:format="Thumbnail" ma:internalName="Thumbnail">
      <xsd:simpleType>
        <xsd:restriction base="dms:Unknown"/>
      </xsd:simpleType>
    </xsd:element>
    <xsd:element name="Number" ma:index="29" nillable="true" ma:displayName="Number " ma:format="Dropdown" ma:internalName="Number" ma:percentage="FALSE">
      <xsd:simpleType>
        <xsd:restriction base="dms:Number"/>
      </xsd:simpleType>
    </xsd:element>
    <xsd:element name="Asset" ma:index="30" nillable="true" ma:displayName="Asset" ma:default="PDF" ma:description="Breakdown of Asset Type " ma:format="Dropdown" ma:internalName="Asset">
      <xsd:simpleType>
        <xsd:restriction base="dms:Text">
          <xsd:maxLength value="255"/>
        </xsd:restriction>
      </xsd:simpleType>
    </xsd:element>
    <xsd:element name="Partner" ma:index="31" nillable="true" ma:displayName="Partner" ma:description="Supporting Partner " ma:format="Dropdown" ma:internalName="Partner">
      <xsd:simpleType>
        <xsd:restriction base="dms:Text">
          <xsd:maxLength value="255"/>
        </xsd:restriction>
      </xsd:simpleType>
    </xsd:element>
    <xsd:element name="Date_x002f_Time" ma:index="32" nillable="true" ma:displayName="Date/Time" ma:format="DateOnly" ma:internalName="Date_x002f_Time">
      <xsd:simpleType>
        <xsd:restriction base="dms:DateTime"/>
      </xsd:simpleType>
    </xsd:element>
    <xsd:element name="Number0" ma:index="33" nillable="true" ma:displayName="Number" ma:format="Dropdown" ma:internalName="Number0" ma:percentage="FALSE">
      <xsd:simpleType>
        <xsd:restriction base="dms:Number"/>
      </xsd:simpleType>
    </xsd:element>
    <xsd:element name="Stage" ma:index="34" nillable="true" ma:displayName="Stage" ma:format="Dropdown" ma:internalName="Stage">
      <xsd:simpleType>
        <xsd:restriction base="dms:Choice">
          <xsd:enumeration value="Beta"/>
          <xsd:enumeration value="Gold "/>
          <xsd:enumeration value="Final"/>
        </xsd:restriction>
      </xsd:simpleType>
    </xsd:element>
    <xsd:element name="VideoNumber" ma:index="35" nillable="true" ma:displayName="Video Number" ma:format="Dropdown" ma:internalName="VideoNumber" ma:percentage="FALSE">
      <xsd:simpleType>
        <xsd:restriction base="dms:Number"/>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b8d25d-6f1a-4853-a50e-ce920470bfa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e359282-8fda-4cb3-a2c7-ad297dbdfb27}" ma:internalName="TaxCatchAll" ma:showField="CatchAllData" ma:web="36b8d25d-6f1a-4853-a50e-ce920470b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975390-f9f6-4ba3-94bc-05ba840d93f4">
      <Terms xmlns="http://schemas.microsoft.com/office/infopath/2007/PartnerControls"/>
    </lcf76f155ced4ddcb4097134ff3c332f>
    <TaxCatchAll xmlns="36b8d25d-6f1a-4853-a50e-ce920470bfa6" xsi:nil="true"/>
    <Asset xmlns="4f975390-f9f6-4ba3-94bc-05ba840d93f4">PDF</Asset>
    <Number0 xmlns="4f975390-f9f6-4ba3-94bc-05ba840d93f4" xsi:nil="true"/>
    <Studiocountry xmlns="4f975390-f9f6-4ba3-94bc-05ba840d93f4" xsi:nil="true"/>
    <Stage xmlns="4f975390-f9f6-4ba3-94bc-05ba840d93f4" xsi:nil="true"/>
    <Thumbnail xmlns="4f975390-f9f6-4ba3-94bc-05ba840d93f4" xsi:nil="true"/>
    <Number xmlns="4f975390-f9f6-4ba3-94bc-05ba840d93f4" xsi:nil="true"/>
    <WorkArea xmlns="4f975390-f9f6-4ba3-94bc-05ba840d93f4" xsi:nil="true"/>
    <Clientnumber xmlns="4f975390-f9f6-4ba3-94bc-05ba840d93f4" xsi:nil="true"/>
    <Status xmlns="4f975390-f9f6-4ba3-94bc-05ba840d93f4" xsi:nil="true"/>
    <Partner xmlns="4f975390-f9f6-4ba3-94bc-05ba840d93f4" xsi:nil="true"/>
    <Date_x002f_Time xmlns="4f975390-f9f6-4ba3-94bc-05ba840d93f4" xsi:nil="true"/>
    <Customername xmlns="4f975390-f9f6-4ba3-94bc-05ba840d93f4" xsi:nil="true"/>
    <VideoNumber xmlns="4f975390-f9f6-4ba3-94bc-05ba840d93f4" xsi:nil="true"/>
  </documentManagement>
</p:properties>
</file>

<file path=customXml/itemProps1.xml><?xml version="1.0" encoding="utf-8"?>
<ds:datastoreItem xmlns:ds="http://schemas.openxmlformats.org/officeDocument/2006/customXml" ds:itemID="{42CB95CF-4543-47E6-8261-501677744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75390-f9f6-4ba3-94bc-05ba840d93f4"/>
    <ds:schemaRef ds:uri="36b8d25d-6f1a-4853-a50e-ce920470b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9B6B55-D95E-4157-AB70-29E510CE45C8}">
  <ds:schemaRefs>
    <ds:schemaRef ds:uri="http://schemas.openxmlformats.org/officeDocument/2006/bibliography"/>
  </ds:schemaRefs>
</ds:datastoreItem>
</file>

<file path=customXml/itemProps3.xml><?xml version="1.0" encoding="utf-8"?>
<ds:datastoreItem xmlns:ds="http://schemas.openxmlformats.org/officeDocument/2006/customXml" ds:itemID="{42F51225-5C22-4221-A9C2-674344CFB4E5}">
  <ds:schemaRefs>
    <ds:schemaRef ds:uri="http://schemas.microsoft.com/sharepoint/v3/contenttype/forms"/>
  </ds:schemaRefs>
</ds:datastoreItem>
</file>

<file path=customXml/itemProps4.xml><?xml version="1.0" encoding="utf-8"?>
<ds:datastoreItem xmlns:ds="http://schemas.openxmlformats.org/officeDocument/2006/customXml" ds:itemID="{BB59DC21-3D22-4EBD-A8F5-9539EE055B40}">
  <ds:schemaRefs>
    <ds:schemaRef ds:uri="http://schemas.microsoft.com/office/2006/metadata/properties"/>
    <ds:schemaRef ds:uri="http://schemas.microsoft.com/office/infopath/2007/PartnerControls"/>
    <ds:schemaRef ds:uri="4f975390-f9f6-4ba3-94bc-05ba840d93f4"/>
    <ds:schemaRef ds:uri="36b8d25d-6f1a-4853-a50e-ce920470bfa6"/>
  </ds:schemaRefs>
</ds:datastoreItem>
</file>

<file path=docProps/app.xml><?xml version="1.0" encoding="utf-8"?>
<Properties xmlns="http://schemas.openxmlformats.org/officeDocument/2006/extended-properties" xmlns:vt="http://schemas.openxmlformats.org/officeDocument/2006/docPropsVTypes">
  <Template>Government Campus_Accessible Word documents template (1).dotx</Template>
  <TotalTime>179</TotalTime>
  <Pages>6</Pages>
  <Words>1322</Words>
  <Characters>8105</Characters>
  <Application>Microsoft Office Word</Application>
  <DocSecurity>0</DocSecurity>
  <Lines>301</Lines>
  <Paragraphs>79</Paragraphs>
  <ScaleCrop>false</ScaleCrop>
  <HeadingPairs>
    <vt:vector size="2" baseType="variant">
      <vt:variant>
        <vt:lpstr>Title</vt:lpstr>
      </vt:variant>
      <vt:variant>
        <vt:i4>1</vt:i4>
      </vt:variant>
    </vt:vector>
  </HeadingPairs>
  <TitlesOfParts>
    <vt:vector size="1" baseType="lpstr">
      <vt:lpstr>[Title]</vt:lpstr>
    </vt:vector>
  </TitlesOfParts>
  <Manager>[Name]</Manager>
  <Company>Government Campus</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dc:subject>
  <dc:creator>Dave Martin1</dc:creator>
  <cp:keywords>HM; Government; Campus; Cabinet; Office; [Key words separated by commas]</cp:keywords>
  <dc:description/>
  <cp:lastModifiedBy>Rupert Abel</cp:lastModifiedBy>
  <cp:revision>30</cp:revision>
  <cp:lastPrinted>2021-08-25T13:48:00Z</cp:lastPrinted>
  <dcterms:created xsi:type="dcterms:W3CDTF">2025-06-17T07:47:00Z</dcterms:created>
  <dcterms:modified xsi:type="dcterms:W3CDTF">2025-12-04T11:25:00Z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0x010100BCAC4AC47EB85744B935CCFFA5970C85</vt:lpwstr>
  </property>
  <property fmtid="{D5CDD505-2E9C-101B-9397-08002B2CF9AE}" pid="3" name="MediaServiceImageTags">
    <vt:lpwstr/>
  </property>
</Properties>
</file>